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8A96" w14:textId="77777777" w:rsidR="003A4FF1" w:rsidRDefault="00000000" w:rsidP="0015784C">
      <w:pPr>
        <w:pStyle w:val="Title"/>
        <w:jc w:val="left"/>
      </w:pPr>
      <w:r>
        <w:t>Multi-Layer Perceptron for Diabetes Prediction:</w:t>
      </w:r>
      <w:r>
        <w:br/>
        <w:t xml:space="preserve"> An Empirical Analysis of Architectural Depth vs Width</w:t>
      </w:r>
    </w:p>
    <w:p w14:paraId="50DC653F" w14:textId="48E624A8" w:rsidR="003A4FF1" w:rsidRDefault="00000000" w:rsidP="0015784C">
      <w:pPr>
        <w:spacing w:after="240"/>
      </w:pPr>
      <w:r>
        <w:rPr>
          <w:b/>
          <w:bCs/>
        </w:rPr>
        <w:t>Sadman Sharif</w:t>
      </w:r>
      <w:r>
        <w:br/>
        <w:t xml:space="preserve"> (Student ID: A</w:t>
      </w:r>
      <w:proofErr w:type="gramStart"/>
      <w:r>
        <w:t>1944825)University</w:t>
      </w:r>
      <w:proofErr w:type="gramEnd"/>
      <w:r>
        <w:t xml:space="preserve"> of Adelaide</w:t>
      </w:r>
      <w:r>
        <w:br/>
        <w:t xml:space="preserve"> </w:t>
      </w:r>
    </w:p>
    <w:p w14:paraId="32250A0A" w14:textId="77777777" w:rsidR="003A4FF1" w:rsidRDefault="00000000" w:rsidP="002C3424">
      <w:pPr>
        <w:pStyle w:val="Heading1"/>
        <w:jc w:val="both"/>
      </w:pPr>
      <w:r>
        <w:t>1. Introduction</w:t>
      </w:r>
    </w:p>
    <w:p w14:paraId="51FEE78A" w14:textId="77777777" w:rsidR="003A4FF1" w:rsidRDefault="00000000" w:rsidP="002C3424">
      <w:pPr>
        <w:jc w:val="both"/>
      </w:pPr>
      <w:r>
        <w:t xml:space="preserve">Diabetes mellitus affects over 537 million adults globally, with early detection crucial for preventing severe complications. This work implements and evaluates Multi-Layer </w:t>
      </w:r>
      <w:proofErr w:type="spellStart"/>
      <w:r>
        <w:t>Perceptrons</w:t>
      </w:r>
      <w:proofErr w:type="spellEnd"/>
      <w:r>
        <w:t xml:space="preserve"> (MLPs) for binary diabetes classification using the Pima Indians Diabetes dataset, addressing the fundamental challenge of capturing complex physiological patterns while maintaining model generalizability.</w:t>
      </w:r>
    </w:p>
    <w:p w14:paraId="3B058508" w14:textId="77777777" w:rsidR="003A4FF1" w:rsidRDefault="00000000" w:rsidP="002C3424">
      <w:pPr>
        <w:spacing w:before="120" w:after="120"/>
        <w:jc w:val="both"/>
      </w:pPr>
      <w:r>
        <w:t xml:space="preserve">The perceptron, foundational to deep learning, transforms inputs through weighted combinations and activation functions: </w:t>
      </w:r>
      <w:r>
        <w:rPr>
          <w:i/>
          <w:iCs/>
        </w:rPr>
        <w:t xml:space="preserve">y = </w:t>
      </w:r>
      <w:proofErr w:type="gramStart"/>
      <w:r>
        <w:rPr>
          <w:i/>
          <w:iCs/>
        </w:rPr>
        <w:t>f(Σ(</w:t>
      </w:r>
      <w:proofErr w:type="spellStart"/>
      <w:proofErr w:type="gramEnd"/>
      <w:r>
        <w:rPr>
          <w:i/>
          <w:iCs/>
        </w:rPr>
        <w:t>w</w:t>
      </w:r>
      <w:r>
        <w:rPr>
          <w:i/>
          <w:iCs/>
          <w:vertAlign w:val="subscript"/>
        </w:rPr>
        <w:t>i</w:t>
      </w:r>
      <w:proofErr w:type="spellEnd"/>
      <w:r>
        <w:rPr>
          <w:i/>
          <w:iCs/>
        </w:rPr>
        <w:t xml:space="preserve"> × x</w:t>
      </w:r>
      <w:r>
        <w:rPr>
          <w:i/>
          <w:iCs/>
          <w:vertAlign w:val="subscript"/>
        </w:rPr>
        <w:t>i</w:t>
      </w:r>
      <w:r>
        <w:rPr>
          <w:i/>
          <w:iCs/>
        </w:rPr>
        <w:t>) + b)</w:t>
      </w:r>
      <w:r>
        <w:t xml:space="preserve"> where x</w:t>
      </w:r>
      <w:r>
        <w:rPr>
          <w:vertAlign w:val="subscript"/>
        </w:rPr>
        <w:t>i</w:t>
      </w:r>
      <w:r>
        <w:t xml:space="preserve"> represents input features, </w:t>
      </w:r>
      <w:proofErr w:type="spellStart"/>
      <w:r>
        <w:t>w</w:t>
      </w:r>
      <w:r>
        <w:rPr>
          <w:vertAlign w:val="subscript"/>
        </w:rPr>
        <w:t>i</w:t>
      </w:r>
      <w:proofErr w:type="spellEnd"/>
      <w:r>
        <w:t xml:space="preserve"> denotes weights, b is the bias term, and </w:t>
      </w:r>
      <w:proofErr w:type="gramStart"/>
      <w:r>
        <w:t>f(</w:t>
      </w:r>
      <w:proofErr w:type="gramEnd"/>
      <w:r>
        <w:t>·) is the activation function.</w:t>
      </w:r>
    </w:p>
    <w:p w14:paraId="5DCD4CF6" w14:textId="77777777" w:rsidR="003A4FF1" w:rsidRDefault="00000000" w:rsidP="002C3424">
      <w:pPr>
        <w:jc w:val="both"/>
      </w:pPr>
      <w:r>
        <w:t>This study systematically investigates three architectural variations—shallow, deep, and wide networks—to determine optimal configurations for medical prediction tasks. Our methodology encompasses comprehensive data preprocessing, including biologically-informed imputation and standardized feature scaling.</w:t>
      </w:r>
    </w:p>
    <w:p w14:paraId="280E5708" w14:textId="77777777" w:rsidR="003A4FF1" w:rsidRDefault="00000000" w:rsidP="002C3424">
      <w:pPr>
        <w:spacing w:before="120"/>
        <w:jc w:val="both"/>
      </w:pPr>
      <w:r>
        <w:rPr>
          <w:b/>
          <w:bCs/>
        </w:rPr>
        <w:t>Key contributions:</w:t>
      </w:r>
    </w:p>
    <w:p w14:paraId="492D8354" w14:textId="77777777" w:rsidR="003A4FF1" w:rsidRDefault="00000000" w:rsidP="002C3424">
      <w:pPr>
        <w:pStyle w:val="ListParagraph"/>
        <w:numPr>
          <w:ilvl w:val="0"/>
          <w:numId w:val="2"/>
        </w:numPr>
        <w:jc w:val="both"/>
      </w:pPr>
      <w:r>
        <w:t>Empirical demonstration that architectural depth outperforms width for medical data, achieving 77.92% accuracy with 66% fewer parameters</w:t>
      </w:r>
    </w:p>
    <w:p w14:paraId="72141AE8" w14:textId="77777777" w:rsidR="003A4FF1" w:rsidRDefault="00000000" w:rsidP="002C3424">
      <w:pPr>
        <w:pStyle w:val="ListParagraph"/>
        <w:numPr>
          <w:ilvl w:val="0"/>
          <w:numId w:val="2"/>
        </w:numPr>
        <w:jc w:val="both"/>
      </w:pPr>
      <w:r>
        <w:t>Analysis of sensitivity-specificity trade-offs critical for clinical deployment</w:t>
      </w:r>
    </w:p>
    <w:p w14:paraId="08593DFB" w14:textId="77777777" w:rsidR="003A4FF1" w:rsidRDefault="00000000" w:rsidP="002C3424">
      <w:pPr>
        <w:pStyle w:val="ListParagraph"/>
        <w:numPr>
          <w:ilvl w:val="0"/>
          <w:numId w:val="2"/>
        </w:numPr>
        <w:spacing w:after="240"/>
        <w:jc w:val="both"/>
      </w:pPr>
      <w:r>
        <w:t>Insights into efficient parameter utilization in medical MLPs</w:t>
      </w:r>
    </w:p>
    <w:p w14:paraId="62AB77DC" w14:textId="77777777" w:rsidR="003A4FF1" w:rsidRDefault="00000000" w:rsidP="002C3424">
      <w:pPr>
        <w:pStyle w:val="Heading1"/>
        <w:jc w:val="both"/>
      </w:pPr>
      <w:r>
        <w:t>2. Method</w:t>
      </w:r>
    </w:p>
    <w:p w14:paraId="67221D2B" w14:textId="77777777" w:rsidR="003A4FF1" w:rsidRDefault="00000000" w:rsidP="002C3424">
      <w:pPr>
        <w:pStyle w:val="Heading2"/>
        <w:jc w:val="both"/>
      </w:pPr>
      <w:r>
        <w:t>2.1 Data Preprocessing</w:t>
      </w:r>
    </w:p>
    <w:p w14:paraId="22C5EA31" w14:textId="77777777" w:rsidR="003A4FF1" w:rsidRDefault="00000000" w:rsidP="002C3424">
      <w:pPr>
        <w:jc w:val="both"/>
      </w:pPr>
      <w:r>
        <w:t xml:space="preserve">The dataset comprises 768 samples with 8 physiological features. Initial analysis revealed biologically impossible zero values in glucose (5.5%), blood pressure (4.5%), skin thickness (29.6%), insulin (48.7%), and BMI (1.4%). These were treated as missing values and imputed using median statistics from the training distribution. Feature standardization employed z-score normalization: </w:t>
      </w:r>
      <w:r>
        <w:rPr>
          <w:i/>
          <w:iCs/>
        </w:rPr>
        <w:t xml:space="preserve">x' = (x - </w:t>
      </w:r>
      <w:proofErr w:type="spellStart"/>
      <w:r>
        <w:rPr>
          <w:i/>
          <w:iCs/>
        </w:rPr>
        <w:t>μ</w:t>
      </w:r>
      <w:r>
        <w:rPr>
          <w:i/>
          <w:iCs/>
          <w:vertAlign w:val="subscript"/>
        </w:rPr>
        <w:t>train</w:t>
      </w:r>
      <w:proofErr w:type="spellEnd"/>
      <w:r>
        <w:rPr>
          <w:i/>
          <w:iCs/>
        </w:rPr>
        <w:t xml:space="preserve">) / </w:t>
      </w:r>
      <w:proofErr w:type="spellStart"/>
      <w:r>
        <w:rPr>
          <w:i/>
          <w:iCs/>
        </w:rPr>
        <w:t>σ</w:t>
      </w:r>
      <w:r>
        <w:rPr>
          <w:i/>
          <w:iCs/>
          <w:vertAlign w:val="subscript"/>
        </w:rPr>
        <w:t>train</w:t>
      </w:r>
      <w:proofErr w:type="spellEnd"/>
    </w:p>
    <w:p w14:paraId="1DB61F09" w14:textId="77777777" w:rsidR="003A4FF1" w:rsidRDefault="00000000" w:rsidP="002C3424">
      <w:pPr>
        <w:spacing w:before="120"/>
        <w:jc w:val="both"/>
      </w:pPr>
      <w:r>
        <w:t>Data partitioning utilized stratified sampling: training (492 samples, 63.5%), validation (123 samples, 16%), and test (155 samples, 20.5%), preserving the 65:35 class distribution.</w:t>
      </w:r>
    </w:p>
    <w:p w14:paraId="6ED16FD0" w14:textId="77777777" w:rsidR="003A4FF1" w:rsidRDefault="00000000" w:rsidP="002C3424">
      <w:pPr>
        <w:pStyle w:val="Heading2"/>
        <w:jc w:val="both"/>
      </w:pPr>
      <w:r>
        <w:t>2.2 Network Architecture</w:t>
      </w:r>
    </w:p>
    <w:p w14:paraId="73BB6CB4" w14:textId="77777777" w:rsidR="003A4FF1" w:rsidRDefault="00000000" w:rsidP="002C3424">
      <w:pPr>
        <w:jc w:val="both"/>
      </w:pPr>
      <w:r>
        <w:t xml:space="preserve">We implemented a flexible MLP framework using </w:t>
      </w:r>
      <w:proofErr w:type="spellStart"/>
      <w:r>
        <w:t>PyTorch</w:t>
      </w:r>
      <w:proofErr w:type="spellEnd"/>
      <w:r>
        <w:t xml:space="preserve">, following: </w:t>
      </w:r>
      <w:proofErr w:type="gramStart"/>
      <w:r>
        <w:rPr>
          <w:b/>
          <w:bCs/>
        </w:rPr>
        <w:t>Input(</w:t>
      </w:r>
      <w:proofErr w:type="gramEnd"/>
      <w:r>
        <w:rPr>
          <w:b/>
          <w:bCs/>
        </w:rPr>
        <w:t xml:space="preserve">8) → Hidden Layers → </w:t>
      </w:r>
      <w:proofErr w:type="gramStart"/>
      <w:r>
        <w:rPr>
          <w:b/>
          <w:bCs/>
        </w:rPr>
        <w:t>Output(</w:t>
      </w:r>
      <w:proofErr w:type="gramEnd"/>
      <w:r>
        <w:rPr>
          <w:b/>
          <w:bCs/>
        </w:rPr>
        <w:t>1)</w:t>
      </w:r>
      <w:r>
        <w:t xml:space="preserve">. Hidden layers employ: Linear transformation (z = </w:t>
      </w:r>
      <w:proofErr w:type="spellStart"/>
      <w:r>
        <w:t>Wx</w:t>
      </w:r>
      <w:proofErr w:type="spellEnd"/>
      <w:r>
        <w:t xml:space="preserve"> + b), </w:t>
      </w:r>
      <w:proofErr w:type="spellStart"/>
      <w:r>
        <w:t>ReLU</w:t>
      </w:r>
      <w:proofErr w:type="spellEnd"/>
      <w:r>
        <w:t xml:space="preserve"> activation, and Dropout regularization. The output uses sigmoid activation for binary classification.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986"/>
        <w:gridCol w:w="3018"/>
        <w:gridCol w:w="3012"/>
      </w:tblGrid>
      <w:tr w:rsidR="003A4FF1" w14:paraId="5E5ED2F3" w14:textId="77777777">
        <w:trPr>
          <w:tblHeader/>
        </w:trPr>
        <w:tc>
          <w:tcPr>
            <w:tcW w:w="3120" w:type="dxa"/>
            <w:tcBorders>
              <w:top w:val="single" w:sz="0" w:space="0" w:color="auto"/>
              <w:bottom w:val="single" w:sz="0" w:space="0" w:color="auto"/>
            </w:tcBorders>
            <w:shd w:val="clear" w:color="auto" w:fill="E0E0E0"/>
          </w:tcPr>
          <w:p w14:paraId="78463630" w14:textId="77777777" w:rsidR="003A4FF1" w:rsidRDefault="00000000" w:rsidP="002C3424">
            <w:pPr>
              <w:jc w:val="both"/>
            </w:pPr>
            <w:r>
              <w:rPr>
                <w:b/>
                <w:bCs/>
              </w:rPr>
              <w:t>Model</w:t>
            </w:r>
          </w:p>
        </w:tc>
        <w:tc>
          <w:tcPr>
            <w:tcW w:w="3120" w:type="dxa"/>
            <w:tcBorders>
              <w:top w:val="single" w:sz="0" w:space="0" w:color="auto"/>
              <w:bottom w:val="single" w:sz="0" w:space="0" w:color="auto"/>
            </w:tcBorders>
            <w:shd w:val="clear" w:color="auto" w:fill="E0E0E0"/>
          </w:tcPr>
          <w:p w14:paraId="3899D8EF" w14:textId="77777777" w:rsidR="003A4FF1" w:rsidRDefault="00000000" w:rsidP="002C3424">
            <w:pPr>
              <w:jc w:val="both"/>
            </w:pPr>
            <w:r>
              <w:rPr>
                <w:b/>
                <w:bCs/>
              </w:rPr>
              <w:t>Architecture</w:t>
            </w:r>
          </w:p>
        </w:tc>
        <w:tc>
          <w:tcPr>
            <w:tcW w:w="3120" w:type="dxa"/>
            <w:tcBorders>
              <w:top w:val="single" w:sz="0" w:space="0" w:color="auto"/>
              <w:bottom w:val="single" w:sz="0" w:space="0" w:color="auto"/>
            </w:tcBorders>
            <w:shd w:val="clear" w:color="auto" w:fill="E0E0E0"/>
          </w:tcPr>
          <w:p w14:paraId="0124084B" w14:textId="77777777" w:rsidR="003A4FF1" w:rsidRDefault="00000000" w:rsidP="002C3424">
            <w:pPr>
              <w:jc w:val="both"/>
            </w:pPr>
            <w:r>
              <w:rPr>
                <w:b/>
                <w:bCs/>
              </w:rPr>
              <w:t>Parameters</w:t>
            </w:r>
          </w:p>
        </w:tc>
      </w:tr>
      <w:tr w:rsidR="003A4FF1" w14:paraId="0A4D0E77" w14:textId="77777777">
        <w:tc>
          <w:tcPr>
            <w:tcW w:w="3120" w:type="dxa"/>
            <w:tcBorders>
              <w:bottom w:val="single" w:sz="0" w:space="0" w:color="auto"/>
            </w:tcBorders>
          </w:tcPr>
          <w:p w14:paraId="76CFACD6" w14:textId="77777777" w:rsidR="003A4FF1" w:rsidRDefault="00000000" w:rsidP="002C3424">
            <w:pPr>
              <w:jc w:val="both"/>
            </w:pPr>
            <w:r>
              <w:t>Shallow</w:t>
            </w:r>
          </w:p>
        </w:tc>
        <w:tc>
          <w:tcPr>
            <w:tcW w:w="3120" w:type="dxa"/>
            <w:tcBorders>
              <w:bottom w:val="single" w:sz="0" w:space="0" w:color="auto"/>
            </w:tcBorders>
          </w:tcPr>
          <w:p w14:paraId="18267D03" w14:textId="77777777" w:rsidR="003A4FF1" w:rsidRDefault="00000000" w:rsidP="002C3424">
            <w:pPr>
              <w:jc w:val="both"/>
            </w:pPr>
            <w:r>
              <w:t>[32]</w:t>
            </w:r>
          </w:p>
        </w:tc>
        <w:tc>
          <w:tcPr>
            <w:tcW w:w="3120" w:type="dxa"/>
            <w:tcBorders>
              <w:bottom w:val="single" w:sz="0" w:space="0" w:color="auto"/>
            </w:tcBorders>
          </w:tcPr>
          <w:p w14:paraId="1796ABE4" w14:textId="77777777" w:rsidR="003A4FF1" w:rsidRDefault="00000000" w:rsidP="002C3424">
            <w:pPr>
              <w:jc w:val="both"/>
            </w:pPr>
            <w:r>
              <w:t>321</w:t>
            </w:r>
          </w:p>
        </w:tc>
      </w:tr>
      <w:tr w:rsidR="003A4FF1" w14:paraId="11BA24F5" w14:textId="77777777">
        <w:tc>
          <w:tcPr>
            <w:tcW w:w="3120" w:type="dxa"/>
            <w:tcBorders>
              <w:bottom w:val="single" w:sz="0" w:space="0" w:color="auto"/>
            </w:tcBorders>
          </w:tcPr>
          <w:p w14:paraId="4930AD64" w14:textId="77777777" w:rsidR="003A4FF1" w:rsidRDefault="00000000" w:rsidP="002C3424">
            <w:pPr>
              <w:jc w:val="both"/>
            </w:pPr>
            <w:r>
              <w:t>Deep</w:t>
            </w:r>
          </w:p>
        </w:tc>
        <w:tc>
          <w:tcPr>
            <w:tcW w:w="3120" w:type="dxa"/>
            <w:tcBorders>
              <w:bottom w:val="single" w:sz="0" w:space="0" w:color="auto"/>
            </w:tcBorders>
          </w:tcPr>
          <w:p w14:paraId="6B78BE13" w14:textId="77777777" w:rsidR="003A4FF1" w:rsidRDefault="00000000" w:rsidP="002C3424">
            <w:pPr>
              <w:jc w:val="both"/>
            </w:pPr>
            <w:r>
              <w:t>[64, 32, 16]</w:t>
            </w:r>
          </w:p>
        </w:tc>
        <w:tc>
          <w:tcPr>
            <w:tcW w:w="3120" w:type="dxa"/>
            <w:tcBorders>
              <w:bottom w:val="single" w:sz="0" w:space="0" w:color="auto"/>
            </w:tcBorders>
          </w:tcPr>
          <w:p w14:paraId="1220DC8F" w14:textId="77777777" w:rsidR="003A4FF1" w:rsidRDefault="00000000" w:rsidP="002C3424">
            <w:pPr>
              <w:jc w:val="both"/>
            </w:pPr>
            <w:r>
              <w:t>3,201</w:t>
            </w:r>
          </w:p>
        </w:tc>
      </w:tr>
      <w:tr w:rsidR="003A4FF1" w14:paraId="3208498D" w14:textId="77777777">
        <w:tc>
          <w:tcPr>
            <w:tcW w:w="3120" w:type="dxa"/>
            <w:tcBorders>
              <w:bottom w:val="single" w:sz="0" w:space="0" w:color="auto"/>
            </w:tcBorders>
          </w:tcPr>
          <w:p w14:paraId="2D2877AA" w14:textId="77777777" w:rsidR="003A4FF1" w:rsidRDefault="00000000" w:rsidP="002C3424">
            <w:pPr>
              <w:jc w:val="both"/>
            </w:pPr>
            <w:r>
              <w:t>Wide</w:t>
            </w:r>
          </w:p>
        </w:tc>
        <w:tc>
          <w:tcPr>
            <w:tcW w:w="3120" w:type="dxa"/>
            <w:tcBorders>
              <w:bottom w:val="single" w:sz="0" w:space="0" w:color="auto"/>
            </w:tcBorders>
          </w:tcPr>
          <w:p w14:paraId="04837221" w14:textId="77777777" w:rsidR="003A4FF1" w:rsidRDefault="00000000" w:rsidP="002C3424">
            <w:pPr>
              <w:jc w:val="both"/>
            </w:pPr>
            <w:r>
              <w:t>[128, 64]</w:t>
            </w:r>
          </w:p>
        </w:tc>
        <w:tc>
          <w:tcPr>
            <w:tcW w:w="3120" w:type="dxa"/>
            <w:tcBorders>
              <w:bottom w:val="single" w:sz="0" w:space="0" w:color="auto"/>
            </w:tcBorders>
          </w:tcPr>
          <w:p w14:paraId="41BE0666" w14:textId="77777777" w:rsidR="003A4FF1" w:rsidRDefault="00000000" w:rsidP="002C3424">
            <w:pPr>
              <w:jc w:val="both"/>
            </w:pPr>
            <w:r>
              <w:t>9,473</w:t>
            </w:r>
          </w:p>
        </w:tc>
      </w:tr>
    </w:tbl>
    <w:p w14:paraId="02FA7F8B" w14:textId="77777777" w:rsidR="003A4FF1" w:rsidRDefault="00000000" w:rsidP="002C3424">
      <w:pPr>
        <w:pStyle w:val="Heading2"/>
        <w:jc w:val="both"/>
      </w:pPr>
      <w:r>
        <w:t>2.3 Training Procedure</w:t>
      </w:r>
    </w:p>
    <w:p w14:paraId="75120433" w14:textId="5E4B4F80" w:rsidR="003A4FF1" w:rsidRDefault="00000000" w:rsidP="002C3424">
      <w:pPr>
        <w:jc w:val="both"/>
      </w:pPr>
      <w:r>
        <w:lastRenderedPageBreak/>
        <w:t>Optimization employed Binary Cross-Entropy loss with Adam optimizer using architecture-specific learning rates (0.001 for shallow/deep, 0.0005 for wide) and L2 regularization (λ=10</w:t>
      </w:r>
      <w:r>
        <w:rPr>
          <w:vertAlign w:val="superscript"/>
        </w:rPr>
        <w:t>-4</w:t>
      </w:r>
      <w:r>
        <w:t>). Dropout rates were tuned per architecture (0.2-0.3). Training ran for 150 epochs with batch sizes optimized for convergence.</w:t>
      </w:r>
    </w:p>
    <w:p w14:paraId="4F38217F" w14:textId="77777777" w:rsidR="003A4FF1" w:rsidRDefault="00000000" w:rsidP="002C3424">
      <w:pPr>
        <w:pStyle w:val="Heading1"/>
        <w:jc w:val="both"/>
      </w:pPr>
      <w:r>
        <w:t>3. Experimental Analysis</w:t>
      </w:r>
    </w:p>
    <w:p w14:paraId="3769E07A" w14:textId="77777777" w:rsidR="003A4FF1" w:rsidRDefault="00000000" w:rsidP="002C3424">
      <w:pPr>
        <w:pStyle w:val="Heading2"/>
        <w:jc w:val="both"/>
      </w:pPr>
      <w:r>
        <w:t>3.1 Experimental Design</w:t>
      </w:r>
    </w:p>
    <w:p w14:paraId="73D56BE7" w14:textId="77777777" w:rsidR="003A4FF1" w:rsidRDefault="00000000" w:rsidP="002C3424">
      <w:pPr>
        <w:jc w:val="both"/>
      </w:pPr>
      <w:r>
        <w:t>Three experiments systematically varied architectural properties while maintaining consistent training protocols. Performance evaluation employed accuracy, precision, recall, and F1-score metrics, with emphasis on recall given the medical context.</w:t>
      </w:r>
    </w:p>
    <w:p w14:paraId="5D9976FA" w14:textId="77777777" w:rsidR="003A4FF1" w:rsidRDefault="00000000" w:rsidP="002C3424">
      <w:pPr>
        <w:pStyle w:val="Heading2"/>
        <w:jc w:val="both"/>
      </w:pPr>
      <w:r>
        <w:t>3.2 Results and Discussion</w:t>
      </w:r>
    </w:p>
    <w:p w14:paraId="1EE0A669" w14:textId="77777777" w:rsidR="0015784C" w:rsidRDefault="0015784C" w:rsidP="002C3424">
      <w:pPr>
        <w:pStyle w:val="Heading2"/>
        <w:jc w:val="both"/>
      </w:pPr>
    </w:p>
    <w:p w14:paraId="208A06EF" w14:textId="16DC04BC" w:rsidR="0015784C" w:rsidRDefault="0015784C" w:rsidP="002C3424">
      <w:pPr>
        <w:pStyle w:val="Heading2"/>
        <w:jc w:val="both"/>
      </w:pPr>
      <w:r w:rsidRPr="0015784C">
        <w:drawing>
          <wp:inline distT="0" distB="0" distL="0" distR="0" wp14:anchorId="11AE69CE" wp14:editId="0B930BA5">
            <wp:extent cx="5731510" cy="3419475"/>
            <wp:effectExtent l="0" t="0" r="2540" b="9525"/>
            <wp:docPr id="121975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8075" name=""/>
                    <pic:cNvPicPr/>
                  </pic:nvPicPr>
                  <pic:blipFill>
                    <a:blip r:embed="rId5"/>
                    <a:stretch>
                      <a:fillRect/>
                    </a:stretch>
                  </pic:blipFill>
                  <pic:spPr>
                    <a:xfrm>
                      <a:off x="0" y="0"/>
                      <a:ext cx="5731510" cy="3419475"/>
                    </a:xfrm>
                    <a:prstGeom prst="rect">
                      <a:avLst/>
                    </a:prstGeom>
                  </pic:spPr>
                </pic:pic>
              </a:graphicData>
            </a:graphic>
          </wp:inline>
        </w:drawing>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80" w:type="dxa"/>
          <w:bottom w:w="100" w:type="dxa"/>
          <w:right w:w="80" w:type="dxa"/>
        </w:tblCellMar>
        <w:tblLook w:val="04A0" w:firstRow="1" w:lastRow="0" w:firstColumn="1" w:lastColumn="0" w:noHBand="0" w:noVBand="1"/>
      </w:tblPr>
      <w:tblGrid>
        <w:gridCol w:w="1798"/>
        <w:gridCol w:w="1813"/>
        <w:gridCol w:w="1813"/>
        <w:gridCol w:w="1796"/>
        <w:gridCol w:w="1796"/>
      </w:tblGrid>
      <w:tr w:rsidR="003A4FF1" w14:paraId="16552684" w14:textId="77777777">
        <w:trPr>
          <w:tblHeader/>
        </w:trPr>
        <w:tc>
          <w:tcPr>
            <w:tcW w:w="1872" w:type="dxa"/>
            <w:tcBorders>
              <w:top w:val="single" w:sz="0" w:space="0" w:color="auto"/>
              <w:bottom w:val="single" w:sz="0" w:space="0" w:color="auto"/>
            </w:tcBorders>
            <w:shd w:val="clear" w:color="auto" w:fill="E0E0E0"/>
          </w:tcPr>
          <w:p w14:paraId="63762A9D" w14:textId="77777777" w:rsidR="003A4FF1" w:rsidRDefault="00000000" w:rsidP="002C3424">
            <w:pPr>
              <w:jc w:val="both"/>
            </w:pPr>
            <w:r>
              <w:rPr>
                <w:b/>
                <w:bCs/>
                <w:sz w:val="20"/>
                <w:szCs w:val="20"/>
              </w:rPr>
              <w:t>Model</w:t>
            </w:r>
          </w:p>
        </w:tc>
        <w:tc>
          <w:tcPr>
            <w:tcW w:w="1872" w:type="dxa"/>
            <w:tcBorders>
              <w:top w:val="single" w:sz="0" w:space="0" w:color="auto"/>
              <w:bottom w:val="single" w:sz="0" w:space="0" w:color="auto"/>
            </w:tcBorders>
            <w:shd w:val="clear" w:color="auto" w:fill="E0E0E0"/>
          </w:tcPr>
          <w:p w14:paraId="474DA20D" w14:textId="77777777" w:rsidR="003A4FF1" w:rsidRDefault="00000000" w:rsidP="002C3424">
            <w:pPr>
              <w:jc w:val="both"/>
            </w:pPr>
            <w:r>
              <w:rPr>
                <w:b/>
                <w:bCs/>
                <w:sz w:val="20"/>
                <w:szCs w:val="20"/>
              </w:rPr>
              <w:t>Accuracy</w:t>
            </w:r>
          </w:p>
        </w:tc>
        <w:tc>
          <w:tcPr>
            <w:tcW w:w="1872" w:type="dxa"/>
            <w:tcBorders>
              <w:top w:val="single" w:sz="0" w:space="0" w:color="auto"/>
              <w:bottom w:val="single" w:sz="0" w:space="0" w:color="auto"/>
            </w:tcBorders>
            <w:shd w:val="clear" w:color="auto" w:fill="E0E0E0"/>
          </w:tcPr>
          <w:p w14:paraId="084E9E79" w14:textId="77777777" w:rsidR="003A4FF1" w:rsidRDefault="00000000" w:rsidP="002C3424">
            <w:pPr>
              <w:jc w:val="both"/>
            </w:pPr>
            <w:r>
              <w:rPr>
                <w:b/>
                <w:bCs/>
                <w:sz w:val="20"/>
                <w:szCs w:val="20"/>
              </w:rPr>
              <w:t>Precision</w:t>
            </w:r>
          </w:p>
        </w:tc>
        <w:tc>
          <w:tcPr>
            <w:tcW w:w="1872" w:type="dxa"/>
            <w:tcBorders>
              <w:top w:val="single" w:sz="0" w:space="0" w:color="auto"/>
              <w:bottom w:val="single" w:sz="0" w:space="0" w:color="auto"/>
            </w:tcBorders>
            <w:shd w:val="clear" w:color="auto" w:fill="E0E0E0"/>
          </w:tcPr>
          <w:p w14:paraId="4B2241F4" w14:textId="77777777" w:rsidR="003A4FF1" w:rsidRDefault="00000000" w:rsidP="002C3424">
            <w:pPr>
              <w:jc w:val="both"/>
            </w:pPr>
            <w:r>
              <w:rPr>
                <w:b/>
                <w:bCs/>
                <w:sz w:val="20"/>
                <w:szCs w:val="20"/>
              </w:rPr>
              <w:t>Recall</w:t>
            </w:r>
          </w:p>
        </w:tc>
        <w:tc>
          <w:tcPr>
            <w:tcW w:w="1872" w:type="dxa"/>
            <w:tcBorders>
              <w:top w:val="single" w:sz="0" w:space="0" w:color="auto"/>
              <w:bottom w:val="single" w:sz="0" w:space="0" w:color="auto"/>
            </w:tcBorders>
            <w:shd w:val="clear" w:color="auto" w:fill="E0E0E0"/>
          </w:tcPr>
          <w:p w14:paraId="7C48F7BE" w14:textId="77777777" w:rsidR="003A4FF1" w:rsidRDefault="00000000" w:rsidP="002C3424">
            <w:pPr>
              <w:jc w:val="both"/>
            </w:pPr>
            <w:r>
              <w:rPr>
                <w:b/>
                <w:bCs/>
                <w:sz w:val="20"/>
                <w:szCs w:val="20"/>
              </w:rPr>
              <w:t>F1-Score</w:t>
            </w:r>
          </w:p>
        </w:tc>
      </w:tr>
      <w:tr w:rsidR="003A4FF1" w14:paraId="72E0E5B7" w14:textId="77777777">
        <w:tc>
          <w:tcPr>
            <w:tcW w:w="1872" w:type="dxa"/>
          </w:tcPr>
          <w:p w14:paraId="5BB35E68" w14:textId="77777777" w:rsidR="003A4FF1" w:rsidRDefault="00000000" w:rsidP="002C3424">
            <w:pPr>
              <w:jc w:val="both"/>
            </w:pPr>
            <w:r>
              <w:rPr>
                <w:sz w:val="20"/>
                <w:szCs w:val="20"/>
              </w:rPr>
              <w:t>Shallow</w:t>
            </w:r>
          </w:p>
        </w:tc>
        <w:tc>
          <w:tcPr>
            <w:tcW w:w="1872" w:type="dxa"/>
          </w:tcPr>
          <w:p w14:paraId="0B39AE6D" w14:textId="77777777" w:rsidR="003A4FF1" w:rsidRDefault="00000000" w:rsidP="002C3424">
            <w:pPr>
              <w:jc w:val="both"/>
            </w:pPr>
            <w:r>
              <w:rPr>
                <w:sz w:val="20"/>
                <w:szCs w:val="20"/>
              </w:rPr>
              <w:t>76.62%</w:t>
            </w:r>
          </w:p>
        </w:tc>
        <w:tc>
          <w:tcPr>
            <w:tcW w:w="1872" w:type="dxa"/>
          </w:tcPr>
          <w:p w14:paraId="3EE53BA1" w14:textId="77777777" w:rsidR="003A4FF1" w:rsidRDefault="00000000" w:rsidP="002C3424">
            <w:pPr>
              <w:jc w:val="both"/>
            </w:pPr>
            <w:r>
              <w:rPr>
                <w:sz w:val="20"/>
                <w:szCs w:val="20"/>
              </w:rPr>
              <w:t>72.92%</w:t>
            </w:r>
          </w:p>
        </w:tc>
        <w:tc>
          <w:tcPr>
            <w:tcW w:w="1872" w:type="dxa"/>
          </w:tcPr>
          <w:p w14:paraId="7B2D5385" w14:textId="77777777" w:rsidR="003A4FF1" w:rsidRDefault="00000000" w:rsidP="002C3424">
            <w:pPr>
              <w:jc w:val="both"/>
            </w:pPr>
            <w:r>
              <w:rPr>
                <w:sz w:val="20"/>
                <w:szCs w:val="20"/>
              </w:rPr>
              <w:t>60.34%</w:t>
            </w:r>
          </w:p>
        </w:tc>
        <w:tc>
          <w:tcPr>
            <w:tcW w:w="1872" w:type="dxa"/>
          </w:tcPr>
          <w:p w14:paraId="14EA12D3" w14:textId="77777777" w:rsidR="003A4FF1" w:rsidRDefault="00000000" w:rsidP="002C3424">
            <w:pPr>
              <w:jc w:val="both"/>
            </w:pPr>
            <w:r>
              <w:rPr>
                <w:sz w:val="20"/>
                <w:szCs w:val="20"/>
              </w:rPr>
              <w:t>66.04%</w:t>
            </w:r>
          </w:p>
        </w:tc>
      </w:tr>
      <w:tr w:rsidR="003A4FF1" w14:paraId="576A19FA" w14:textId="77777777">
        <w:tc>
          <w:tcPr>
            <w:tcW w:w="1872" w:type="dxa"/>
          </w:tcPr>
          <w:p w14:paraId="38D99F1B" w14:textId="77777777" w:rsidR="003A4FF1" w:rsidRDefault="00000000" w:rsidP="002C3424">
            <w:pPr>
              <w:jc w:val="both"/>
            </w:pPr>
            <w:r>
              <w:rPr>
                <w:b/>
                <w:bCs/>
                <w:sz w:val="20"/>
                <w:szCs w:val="20"/>
              </w:rPr>
              <w:t>Deep</w:t>
            </w:r>
          </w:p>
        </w:tc>
        <w:tc>
          <w:tcPr>
            <w:tcW w:w="1872" w:type="dxa"/>
          </w:tcPr>
          <w:p w14:paraId="0FB9B1F1" w14:textId="77777777" w:rsidR="003A4FF1" w:rsidRDefault="00000000" w:rsidP="002C3424">
            <w:pPr>
              <w:jc w:val="both"/>
            </w:pPr>
            <w:r>
              <w:rPr>
                <w:b/>
                <w:bCs/>
                <w:sz w:val="20"/>
                <w:szCs w:val="20"/>
              </w:rPr>
              <w:t>77.92%</w:t>
            </w:r>
          </w:p>
        </w:tc>
        <w:tc>
          <w:tcPr>
            <w:tcW w:w="1872" w:type="dxa"/>
          </w:tcPr>
          <w:p w14:paraId="61EC29F0" w14:textId="77777777" w:rsidR="003A4FF1" w:rsidRDefault="00000000" w:rsidP="002C3424">
            <w:pPr>
              <w:jc w:val="both"/>
            </w:pPr>
            <w:r>
              <w:rPr>
                <w:sz w:val="20"/>
                <w:szCs w:val="20"/>
              </w:rPr>
              <w:t>68.75%</w:t>
            </w:r>
          </w:p>
        </w:tc>
        <w:tc>
          <w:tcPr>
            <w:tcW w:w="1872" w:type="dxa"/>
          </w:tcPr>
          <w:p w14:paraId="3C11CFA7" w14:textId="77777777" w:rsidR="003A4FF1" w:rsidRDefault="00000000" w:rsidP="002C3424">
            <w:pPr>
              <w:jc w:val="both"/>
            </w:pPr>
            <w:r>
              <w:rPr>
                <w:b/>
                <w:bCs/>
                <w:sz w:val="20"/>
                <w:szCs w:val="20"/>
              </w:rPr>
              <w:t>75.86%</w:t>
            </w:r>
          </w:p>
        </w:tc>
        <w:tc>
          <w:tcPr>
            <w:tcW w:w="1872" w:type="dxa"/>
          </w:tcPr>
          <w:p w14:paraId="12580FFD" w14:textId="77777777" w:rsidR="003A4FF1" w:rsidRDefault="00000000" w:rsidP="002C3424">
            <w:pPr>
              <w:jc w:val="both"/>
            </w:pPr>
            <w:r>
              <w:rPr>
                <w:b/>
                <w:bCs/>
                <w:sz w:val="20"/>
                <w:szCs w:val="20"/>
              </w:rPr>
              <w:t>72.13%</w:t>
            </w:r>
          </w:p>
        </w:tc>
      </w:tr>
      <w:tr w:rsidR="003A4FF1" w14:paraId="544E25AF" w14:textId="77777777">
        <w:tc>
          <w:tcPr>
            <w:tcW w:w="1872" w:type="dxa"/>
            <w:tcBorders>
              <w:bottom w:val="single" w:sz="0" w:space="0" w:color="auto"/>
            </w:tcBorders>
          </w:tcPr>
          <w:p w14:paraId="1C736716" w14:textId="77777777" w:rsidR="003A4FF1" w:rsidRDefault="00000000" w:rsidP="002C3424">
            <w:pPr>
              <w:jc w:val="both"/>
            </w:pPr>
            <w:r>
              <w:rPr>
                <w:sz w:val="20"/>
                <w:szCs w:val="20"/>
              </w:rPr>
              <w:t>Wide</w:t>
            </w:r>
          </w:p>
        </w:tc>
        <w:tc>
          <w:tcPr>
            <w:tcW w:w="1872" w:type="dxa"/>
            <w:tcBorders>
              <w:bottom w:val="single" w:sz="0" w:space="0" w:color="auto"/>
            </w:tcBorders>
          </w:tcPr>
          <w:p w14:paraId="1246739D" w14:textId="77777777" w:rsidR="003A4FF1" w:rsidRDefault="00000000" w:rsidP="002C3424">
            <w:pPr>
              <w:jc w:val="both"/>
            </w:pPr>
            <w:r>
              <w:rPr>
                <w:sz w:val="20"/>
                <w:szCs w:val="20"/>
              </w:rPr>
              <w:t>72.73%</w:t>
            </w:r>
          </w:p>
        </w:tc>
        <w:tc>
          <w:tcPr>
            <w:tcW w:w="1872" w:type="dxa"/>
            <w:tcBorders>
              <w:bottom w:val="single" w:sz="0" w:space="0" w:color="auto"/>
            </w:tcBorders>
          </w:tcPr>
          <w:p w14:paraId="33CDFF7D" w14:textId="77777777" w:rsidR="003A4FF1" w:rsidRDefault="00000000" w:rsidP="002C3424">
            <w:pPr>
              <w:jc w:val="both"/>
            </w:pPr>
            <w:r>
              <w:rPr>
                <w:sz w:val="20"/>
                <w:szCs w:val="20"/>
              </w:rPr>
              <w:t>64.29%</w:t>
            </w:r>
          </w:p>
        </w:tc>
        <w:tc>
          <w:tcPr>
            <w:tcW w:w="1872" w:type="dxa"/>
            <w:tcBorders>
              <w:bottom w:val="single" w:sz="0" w:space="0" w:color="auto"/>
            </w:tcBorders>
          </w:tcPr>
          <w:p w14:paraId="00CF33C2" w14:textId="77777777" w:rsidR="003A4FF1" w:rsidRDefault="00000000" w:rsidP="002C3424">
            <w:pPr>
              <w:jc w:val="both"/>
            </w:pPr>
            <w:r>
              <w:rPr>
                <w:sz w:val="20"/>
                <w:szCs w:val="20"/>
              </w:rPr>
              <w:t>62.07%</w:t>
            </w:r>
          </w:p>
        </w:tc>
        <w:tc>
          <w:tcPr>
            <w:tcW w:w="1872" w:type="dxa"/>
            <w:tcBorders>
              <w:bottom w:val="single" w:sz="0" w:space="0" w:color="auto"/>
            </w:tcBorders>
          </w:tcPr>
          <w:p w14:paraId="280148AF" w14:textId="77777777" w:rsidR="003A4FF1" w:rsidRDefault="00000000" w:rsidP="002C3424">
            <w:pPr>
              <w:jc w:val="both"/>
            </w:pPr>
            <w:r>
              <w:rPr>
                <w:sz w:val="20"/>
                <w:szCs w:val="20"/>
              </w:rPr>
              <w:t>63.16%</w:t>
            </w:r>
          </w:p>
        </w:tc>
      </w:tr>
    </w:tbl>
    <w:p w14:paraId="5508942F" w14:textId="77777777" w:rsidR="003A4FF1" w:rsidRDefault="00000000" w:rsidP="002C3424">
      <w:pPr>
        <w:spacing w:before="120"/>
        <w:jc w:val="both"/>
      </w:pPr>
      <w:r>
        <w:t>The deep network achieved superior performance across key metrics. Analysis reveals three critical insights:</w:t>
      </w:r>
    </w:p>
    <w:p w14:paraId="4529BCEB" w14:textId="77777777" w:rsidR="003A4FF1" w:rsidRDefault="00000000" w:rsidP="002C3424">
      <w:pPr>
        <w:spacing w:before="120"/>
        <w:jc w:val="both"/>
      </w:pPr>
      <w:r>
        <w:rPr>
          <w:b/>
          <w:bCs/>
        </w:rPr>
        <w:t xml:space="preserve">1. Depth Superiority: </w:t>
      </w:r>
      <w:r>
        <w:t>Despite having 66% fewer parameters than the wide network, the deep architecture achieved 5.2% higher accuracy and 9% better F1-score. This demonstrates that hierarchical feature abstraction through depth more effectively captures medical patterns.</w:t>
      </w:r>
    </w:p>
    <w:p w14:paraId="6D416826" w14:textId="77777777" w:rsidR="003A4FF1" w:rsidRDefault="00000000" w:rsidP="002C3424">
      <w:pPr>
        <w:spacing w:before="120"/>
        <w:jc w:val="both"/>
      </w:pPr>
      <w:r>
        <w:rPr>
          <w:b/>
          <w:bCs/>
        </w:rPr>
        <w:t xml:space="preserve">2. Clinical Relevance: </w:t>
      </w:r>
      <w:r>
        <w:t>The deep network's 75.86% recall represents crucial clinical value, correctly identifying 44 of 58 diabetic patients versus only 35 with the shallow network. In screening applications, this 25% improvement in sensitivity significantly reduces missed diagnoses.</w:t>
      </w:r>
    </w:p>
    <w:p w14:paraId="01455F69" w14:textId="77777777" w:rsidR="003A4FF1" w:rsidRDefault="00000000" w:rsidP="002C3424">
      <w:pPr>
        <w:spacing w:before="120"/>
        <w:jc w:val="both"/>
      </w:pPr>
      <w:r>
        <w:rPr>
          <w:b/>
          <w:bCs/>
        </w:rPr>
        <w:lastRenderedPageBreak/>
        <w:t xml:space="preserve">3. Parameter Efficiency: </w:t>
      </w:r>
      <w:r>
        <w:t xml:space="preserve">The wide network's underperformance despite 3× more parameters </w:t>
      </w:r>
      <w:proofErr w:type="gramStart"/>
      <w:r>
        <w:t>suggests</w:t>
      </w:r>
      <w:proofErr w:type="gramEnd"/>
      <w:r>
        <w:t xml:space="preserve"> inefficient capacity utilization. Training curves revealed slower convergence and 10.2% validation-test gap, indicating overfitting tendencies.</w:t>
      </w:r>
    </w:p>
    <w:p w14:paraId="5D69FE4F" w14:textId="77777777" w:rsidR="003A4FF1" w:rsidRDefault="00000000" w:rsidP="002C3424">
      <w:pPr>
        <w:spacing w:before="120"/>
        <w:jc w:val="both"/>
      </w:pPr>
      <w:r>
        <w:rPr>
          <w:b/>
          <w:bCs/>
        </w:rPr>
        <w:t>Learning dynamics analysis:</w:t>
      </w:r>
      <w:r>
        <w:t xml:space="preserve"> Shallow networks plateaued early (epoch 40), deep networks showed gradual improvement throughout training, while wide networks exhibited oscillatory behavior. The validation-test generalization gap: Shallow (6.3%), Deep (1.8% - best), Wide (10.2%).</w:t>
      </w:r>
    </w:p>
    <w:p w14:paraId="464DFB43" w14:textId="77777777" w:rsidR="003A4FF1" w:rsidRDefault="00000000" w:rsidP="002C3424">
      <w:pPr>
        <w:pStyle w:val="Heading1"/>
        <w:jc w:val="both"/>
      </w:pPr>
      <w:r>
        <w:t>4. Conclusion</w:t>
      </w:r>
    </w:p>
    <w:p w14:paraId="38AD011F" w14:textId="77777777" w:rsidR="003A4FF1" w:rsidRDefault="00000000" w:rsidP="002C3424">
      <w:pPr>
        <w:jc w:val="both"/>
      </w:pPr>
      <w:r>
        <w:t>This study empirically demonstrates that architectural depth provides superior performance for diabetes prediction, with the 3-layer deep network achieving 77.92% accuracy and 72.13% F1-score while maintaining parameter efficiency. The key finding—that depth enables more effective feature learning than width—has important implications for medical ML applications.</w:t>
      </w:r>
    </w:p>
    <w:p w14:paraId="6010DC8C" w14:textId="77777777" w:rsidR="003A4FF1" w:rsidRDefault="00000000" w:rsidP="002C3424">
      <w:pPr>
        <w:spacing w:before="120"/>
        <w:jc w:val="both"/>
      </w:pPr>
      <w:r>
        <w:t>The deep network's high sensitivity (75.86%) makes it suitable for clinical screening, though the 24.14% false negative rate necessitates careful deployment with appropriate clinical oversight. Future work should address class imbalance through techniques like SMOTE or focal loss, explore attention mechanisms for feature importance visualization, and validate performance across diverse populations.</w:t>
      </w:r>
    </w:p>
    <w:p w14:paraId="01E9E258" w14:textId="77777777" w:rsidR="003A4FF1" w:rsidRDefault="00000000" w:rsidP="002C3424">
      <w:pPr>
        <w:spacing w:before="120"/>
        <w:jc w:val="both"/>
      </w:pPr>
      <w:r>
        <w:t>This work contributes to understanding optimal MLP design for medical applications, demonstrating that thoughtful architectural choices achieve strong performance without excessive parameterization, crucial for deployment in resource-constrained clinical environments.</w:t>
      </w:r>
    </w:p>
    <w:p w14:paraId="049D0AA3" w14:textId="77777777" w:rsidR="003A4FF1" w:rsidRDefault="00000000" w:rsidP="002C3424">
      <w:pPr>
        <w:jc w:val="both"/>
      </w:pPr>
      <w:r>
        <w:br w:type="page"/>
      </w:r>
    </w:p>
    <w:p w14:paraId="17ADB954" w14:textId="77777777" w:rsidR="003A4FF1" w:rsidRDefault="00000000" w:rsidP="002C3424">
      <w:pPr>
        <w:pStyle w:val="Heading1"/>
        <w:jc w:val="both"/>
      </w:pPr>
      <w:r>
        <w:lastRenderedPageBreak/>
        <w:t>References</w:t>
      </w:r>
    </w:p>
    <w:p w14:paraId="7EAB9921" w14:textId="77777777" w:rsidR="003A4FF1" w:rsidRDefault="00000000" w:rsidP="002C3424">
      <w:pPr>
        <w:jc w:val="both"/>
      </w:pPr>
      <w:r>
        <w:t xml:space="preserve">[1] International Diabetes Federation. (2021). </w:t>
      </w:r>
      <w:r>
        <w:rPr>
          <w:i/>
          <w:iCs/>
        </w:rPr>
        <w:t>IDF Diabetes Atlas</w:t>
      </w:r>
      <w:r>
        <w:t>, 10th edition. Brussels, Belgium.</w:t>
      </w:r>
    </w:p>
    <w:p w14:paraId="181E7ED7" w14:textId="77777777" w:rsidR="003A4FF1" w:rsidRDefault="00000000" w:rsidP="002C3424">
      <w:pPr>
        <w:spacing w:before="60"/>
        <w:jc w:val="both"/>
      </w:pPr>
      <w:r>
        <w:t xml:space="preserve">[2] Kingma, D. P., &amp; Ba, J. (2015). Adam: A method for stochastic optimization. </w:t>
      </w:r>
      <w:r>
        <w:rPr>
          <w:i/>
          <w:iCs/>
        </w:rPr>
        <w:t>International Conference on Learning Representations (ICLR)</w:t>
      </w:r>
      <w:r>
        <w:t>.</w:t>
      </w:r>
    </w:p>
    <w:p w14:paraId="64F4B2EE" w14:textId="77777777" w:rsidR="003A4FF1" w:rsidRDefault="00000000" w:rsidP="002C3424">
      <w:pPr>
        <w:spacing w:before="60"/>
        <w:jc w:val="both"/>
      </w:pPr>
      <w:r>
        <w:t xml:space="preserve">[3] Smith, J. W., et al. (1988). Using the ADAP learning algorithm to forecast diabetes onset. </w:t>
      </w:r>
      <w:r>
        <w:rPr>
          <w:i/>
          <w:iCs/>
        </w:rPr>
        <w:t>Proceedings of the Annual Symposium on Computer Application in Medical Care</w:t>
      </w:r>
      <w:r>
        <w:t>, pp. 261-265.</w:t>
      </w:r>
    </w:p>
    <w:p w14:paraId="1A81307A" w14:textId="77777777" w:rsidR="003A4FF1" w:rsidRDefault="00000000" w:rsidP="002C3424">
      <w:pPr>
        <w:spacing w:before="60"/>
        <w:jc w:val="both"/>
      </w:pPr>
      <w:r>
        <w:t xml:space="preserve">[4] Goodfellow, I., Bengio, Y., &amp; Courville, A. (2016). </w:t>
      </w:r>
      <w:r>
        <w:rPr>
          <w:i/>
          <w:iCs/>
        </w:rPr>
        <w:t>Deep Learning</w:t>
      </w:r>
      <w:r>
        <w:t>. MIT Press.</w:t>
      </w:r>
    </w:p>
    <w:p w14:paraId="692D6DE4" w14:textId="77777777" w:rsidR="003A4FF1" w:rsidRDefault="00000000" w:rsidP="002C3424">
      <w:pPr>
        <w:spacing w:before="60"/>
        <w:jc w:val="both"/>
      </w:pPr>
      <w:r>
        <w:t xml:space="preserve">[5] Srivastava, N., et al. (2014). Dropout: A simple way to prevent neural networks from overfitting. </w:t>
      </w:r>
      <w:r>
        <w:rPr>
          <w:i/>
          <w:iCs/>
        </w:rPr>
        <w:t>Journal of Machine Learning Research</w:t>
      </w:r>
      <w:r>
        <w:t>, 15(56), 1929-1958.</w:t>
      </w:r>
    </w:p>
    <w:sectPr w:rsidR="003A4FF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0588F"/>
    <w:multiLevelType w:val="hybridMultilevel"/>
    <w:tmpl w:val="3918A83C"/>
    <w:lvl w:ilvl="0" w:tplc="AB1CC092">
      <w:start w:val="1"/>
      <w:numFmt w:val="bullet"/>
      <w:lvlText w:val="•"/>
      <w:lvlJc w:val="left"/>
      <w:pPr>
        <w:ind w:left="720" w:hanging="360"/>
      </w:pPr>
    </w:lvl>
    <w:lvl w:ilvl="1" w:tplc="1C9C0404">
      <w:numFmt w:val="decimal"/>
      <w:lvlText w:val=""/>
      <w:lvlJc w:val="left"/>
    </w:lvl>
    <w:lvl w:ilvl="2" w:tplc="6798B632">
      <w:numFmt w:val="decimal"/>
      <w:lvlText w:val=""/>
      <w:lvlJc w:val="left"/>
    </w:lvl>
    <w:lvl w:ilvl="3" w:tplc="4300E8CC">
      <w:numFmt w:val="decimal"/>
      <w:lvlText w:val=""/>
      <w:lvlJc w:val="left"/>
    </w:lvl>
    <w:lvl w:ilvl="4" w:tplc="7E80641E">
      <w:numFmt w:val="decimal"/>
      <w:lvlText w:val=""/>
      <w:lvlJc w:val="left"/>
    </w:lvl>
    <w:lvl w:ilvl="5" w:tplc="648CD3A8">
      <w:numFmt w:val="decimal"/>
      <w:lvlText w:val=""/>
      <w:lvlJc w:val="left"/>
    </w:lvl>
    <w:lvl w:ilvl="6" w:tplc="7D8A9F00">
      <w:numFmt w:val="decimal"/>
      <w:lvlText w:val=""/>
      <w:lvlJc w:val="left"/>
    </w:lvl>
    <w:lvl w:ilvl="7" w:tplc="457CF91C">
      <w:numFmt w:val="decimal"/>
      <w:lvlText w:val=""/>
      <w:lvlJc w:val="left"/>
    </w:lvl>
    <w:lvl w:ilvl="8" w:tplc="3F7A9272">
      <w:numFmt w:val="decimal"/>
      <w:lvlText w:val=""/>
      <w:lvlJc w:val="left"/>
    </w:lvl>
  </w:abstractNum>
  <w:abstractNum w:abstractNumId="1" w15:restartNumberingAfterBreak="0">
    <w:nsid w:val="7E276D3B"/>
    <w:multiLevelType w:val="hybridMultilevel"/>
    <w:tmpl w:val="B124208A"/>
    <w:lvl w:ilvl="0" w:tplc="A336D802">
      <w:start w:val="1"/>
      <w:numFmt w:val="bullet"/>
      <w:lvlText w:val="●"/>
      <w:lvlJc w:val="left"/>
      <w:pPr>
        <w:ind w:left="720" w:hanging="360"/>
      </w:pPr>
    </w:lvl>
    <w:lvl w:ilvl="1" w:tplc="5E009926">
      <w:start w:val="1"/>
      <w:numFmt w:val="bullet"/>
      <w:lvlText w:val="○"/>
      <w:lvlJc w:val="left"/>
      <w:pPr>
        <w:ind w:left="1440" w:hanging="360"/>
      </w:pPr>
    </w:lvl>
    <w:lvl w:ilvl="2" w:tplc="E2EE6538">
      <w:start w:val="1"/>
      <w:numFmt w:val="bullet"/>
      <w:lvlText w:val="■"/>
      <w:lvlJc w:val="left"/>
      <w:pPr>
        <w:ind w:left="2160" w:hanging="360"/>
      </w:pPr>
    </w:lvl>
    <w:lvl w:ilvl="3" w:tplc="9D321C16">
      <w:start w:val="1"/>
      <w:numFmt w:val="bullet"/>
      <w:lvlText w:val="●"/>
      <w:lvlJc w:val="left"/>
      <w:pPr>
        <w:ind w:left="2880" w:hanging="360"/>
      </w:pPr>
    </w:lvl>
    <w:lvl w:ilvl="4" w:tplc="F4447E30">
      <w:start w:val="1"/>
      <w:numFmt w:val="bullet"/>
      <w:lvlText w:val="○"/>
      <w:lvlJc w:val="left"/>
      <w:pPr>
        <w:ind w:left="3600" w:hanging="360"/>
      </w:pPr>
    </w:lvl>
    <w:lvl w:ilvl="5" w:tplc="84041582">
      <w:start w:val="1"/>
      <w:numFmt w:val="bullet"/>
      <w:lvlText w:val="■"/>
      <w:lvlJc w:val="left"/>
      <w:pPr>
        <w:ind w:left="4320" w:hanging="360"/>
      </w:pPr>
    </w:lvl>
    <w:lvl w:ilvl="6" w:tplc="63C0251A">
      <w:start w:val="1"/>
      <w:numFmt w:val="bullet"/>
      <w:lvlText w:val="●"/>
      <w:lvlJc w:val="left"/>
      <w:pPr>
        <w:ind w:left="5040" w:hanging="360"/>
      </w:pPr>
    </w:lvl>
    <w:lvl w:ilvl="7" w:tplc="C7105F52">
      <w:start w:val="1"/>
      <w:numFmt w:val="bullet"/>
      <w:lvlText w:val="●"/>
      <w:lvlJc w:val="left"/>
      <w:pPr>
        <w:ind w:left="5760" w:hanging="360"/>
      </w:pPr>
    </w:lvl>
    <w:lvl w:ilvl="8" w:tplc="5EE4DD7E">
      <w:start w:val="1"/>
      <w:numFmt w:val="bullet"/>
      <w:lvlText w:val="●"/>
      <w:lvlJc w:val="left"/>
      <w:pPr>
        <w:ind w:left="6480" w:hanging="360"/>
      </w:pPr>
    </w:lvl>
  </w:abstractNum>
  <w:num w:numId="1" w16cid:durableId="343363890">
    <w:abstractNumId w:val="1"/>
    <w:lvlOverride w:ilvl="0">
      <w:startOverride w:val="1"/>
    </w:lvlOverride>
  </w:num>
  <w:num w:numId="2" w16cid:durableId="574168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FF1"/>
    <w:rsid w:val="0015784C"/>
    <w:rsid w:val="002C3424"/>
    <w:rsid w:val="003A4FF1"/>
    <w:rsid w:val="003F2D5C"/>
    <w:rsid w:val="005F2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FF293"/>
  <w15:docId w15:val="{35F9B683-8D63-4909-BCE0-5726B777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20" w:after="6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793</Words>
  <Characters>5380</Characters>
  <Application>Microsoft Office Word</Application>
  <DocSecurity>0</DocSecurity>
  <Lines>125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alfie sadman</cp:lastModifiedBy>
  <cp:revision>2</cp:revision>
  <dcterms:created xsi:type="dcterms:W3CDTF">2025-11-01T08:55:00Z</dcterms:created>
  <dcterms:modified xsi:type="dcterms:W3CDTF">2025-11-02T12:36:00Z</dcterms:modified>
</cp:coreProperties>
</file>