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A7" w:rsidRDefault="00EB39BC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</w:rPr>
        <w:t>Дог</w:t>
      </w:r>
      <w:r>
        <w:rPr>
          <w:rFonts w:ascii="Times New Roman" w:hAnsi="Times New Roman" w:cs="Times New Roman"/>
          <w:b/>
          <w:color w:val="000000"/>
          <w:highlight w:val="white"/>
        </w:rPr>
        <w:t>овор поставки №</w:t>
      </w:r>
    </w:p>
    <w:p w:rsidR="004F30A7" w:rsidRDefault="004F30A7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highlight w:val="white"/>
        </w:rPr>
      </w:pPr>
    </w:p>
    <w:p w:rsidR="004F30A7" w:rsidRDefault="00EB39BC">
      <w:pPr>
        <w:keepLines/>
        <w:shd w:val="clear" w:color="auto" w:fill="FFFFFF"/>
        <w:tabs>
          <w:tab w:val="left" w:pos="7797"/>
        </w:tabs>
        <w:ind w:right="58"/>
        <w:jc w:val="both"/>
      </w:pPr>
      <w:r>
        <w:rPr>
          <w:rFonts w:ascii="Times New Roman" w:hAnsi="Times New Roman" w:cs="Times New Roman"/>
          <w:color w:val="000000"/>
          <w:highlight w:val="white"/>
        </w:rPr>
        <w:t>г. Минск</w:t>
      </w:r>
      <w:r>
        <w:rPr>
          <w:rFonts w:ascii="Times New Roman" w:hAnsi="Times New Roman" w:cs="Times New Roman"/>
          <w:color w:val="000000"/>
          <w:highlight w:val="white"/>
        </w:rPr>
        <w:tab/>
      </w:r>
      <w:r>
        <w:rPr>
          <w:rFonts w:ascii="Times New Roman" w:hAnsi="Times New Roman" w:cs="Times New Roman"/>
          <w:color w:val="000000"/>
          <w:highlight w:val="white"/>
        </w:rPr>
        <w:t>«____» _________2022 г.</w:t>
      </w:r>
    </w:p>
    <w:p w:rsidR="004F30A7" w:rsidRDefault="00EB39BC">
      <w:pPr>
        <w:shd w:val="clear" w:color="auto" w:fill="FFFFFF"/>
        <w:tabs>
          <w:tab w:val="left" w:pos="7797"/>
        </w:tabs>
        <w:ind w:right="58"/>
        <w:jc w:val="both"/>
      </w:pPr>
      <w:r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00"/>
          <w:highlight w:val="yellow"/>
        </w:rPr>
        <w:t xml:space="preserve"> </w:t>
      </w:r>
    </w:p>
    <w:p w:rsidR="004F30A7" w:rsidRDefault="004F30A7">
      <w:pPr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color w:val="000000"/>
          <w:highlight w:val="white"/>
        </w:rPr>
      </w:pPr>
    </w:p>
    <w:p w:rsidR="004F30A7" w:rsidRDefault="00EB39BC">
      <w:pPr>
        <w:jc w:val="both"/>
      </w:pPr>
      <w:bookmarkStart w:id="0" w:name="__DdeLink__3916_193637749"/>
      <w:r>
        <w:rPr>
          <w:rFonts w:ascii="Times New Roman" w:hAnsi="Times New Roman" w:cs="Times New Roman"/>
          <w:b/>
          <w:color w:val="000000"/>
          <w:highlight w:val="white"/>
        </w:rPr>
        <w:t>Общество с ограниченной ответственностью</w:t>
      </w:r>
      <w:bookmarkEnd w:id="0"/>
      <w:r>
        <w:rPr>
          <w:rFonts w:ascii="Times New Roman" w:hAnsi="Times New Roman" w:cs="Times New Roman"/>
          <w:b/>
          <w:color w:val="000000"/>
          <w:highlight w:val="white"/>
        </w:rPr>
        <w:t xml:space="preserve"> «</w:t>
      </w:r>
      <w:proofErr w:type="spellStart"/>
      <w:r>
        <w:rPr>
          <w:rFonts w:ascii="Times New Roman" w:hAnsi="Times New Roman" w:cs="Times New Roman"/>
          <w:b/>
          <w:color w:val="000000"/>
          <w:highlight w:val="white"/>
        </w:rPr>
        <w:t>БайТехСервис</w:t>
      </w:r>
      <w:proofErr w:type="spellEnd"/>
      <w:r>
        <w:rPr>
          <w:rFonts w:ascii="Times New Roman" w:hAnsi="Times New Roman" w:cs="Times New Roman"/>
          <w:b/>
          <w:color w:val="000000"/>
          <w:highlight w:val="white"/>
        </w:rPr>
        <w:t>»</w:t>
      </w:r>
      <w:r>
        <w:rPr>
          <w:rFonts w:ascii="Times New Roman" w:hAnsi="Times New Roman" w:cs="Times New Roman"/>
          <w:color w:val="000000"/>
          <w:highlight w:val="white"/>
        </w:rPr>
        <w:t xml:space="preserve">, именуемое в дальнейшем «Поставщик», в лице заместителя генерального директора по коммерческим вопросам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Анискевича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Ильи </w:t>
      </w:r>
      <w:r>
        <w:rPr>
          <w:rFonts w:ascii="Times New Roman" w:hAnsi="Times New Roman" w:cs="Times New Roman"/>
          <w:color w:val="000000"/>
          <w:highlight w:val="white"/>
        </w:rPr>
        <w:t>Александровича</w:t>
      </w:r>
      <w:r>
        <w:rPr>
          <w:rFonts w:ascii="Times New Roman" w:hAnsi="Times New Roman" w:cs="Times New Roman"/>
          <w:highlight w:val="white"/>
        </w:rPr>
        <w:t xml:space="preserve">, действующего на </w:t>
      </w:r>
      <w:r>
        <w:rPr>
          <w:rFonts w:ascii="Times New Roman" w:hAnsi="Times New Roman" w:cs="Times New Roman"/>
        </w:rPr>
        <w:t>основании генеральной доверенности №</w:t>
      </w:r>
      <w:r>
        <w:rPr>
          <w:rFonts w:ascii="Times New Roman" w:hAnsi="Times New Roman" w:cs="Times New Roman"/>
          <w:color w:val="000000"/>
          <w:sz w:val="19"/>
          <w:szCs w:val="19"/>
        </w:rPr>
        <w:t>88-12-2022 от 31.12.2021г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с  одной</w:t>
      </w:r>
      <w:proofErr w:type="gramEnd"/>
      <w:r>
        <w:rPr>
          <w:rFonts w:ascii="Times New Roman" w:hAnsi="Times New Roman" w:cs="Times New Roman"/>
          <w:color w:val="000000"/>
        </w:rPr>
        <w:t xml:space="preserve">  стороны,  и 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  <w:lang w:val="en-US"/>
        </w:rPr>
        <w:t>CONTRACT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  <w:lang w:val="en-US"/>
        </w:rPr>
        <w:t>HEADER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>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именуем___ в дальнейшем «Покупатель»</w:t>
      </w:r>
      <w:r>
        <w:rPr>
          <w:rFonts w:ascii="Times New Roman" w:hAnsi="Times New Roman" w:cs="Times New Roman"/>
          <w:color w:val="000000"/>
        </w:rPr>
        <w:t>, с другой стороны, заключили настоящий договор о нижеследующем:</w:t>
      </w:r>
    </w:p>
    <w:p w:rsidR="004F30A7" w:rsidRDefault="004F30A7">
      <w:pPr>
        <w:jc w:val="center"/>
        <w:rPr>
          <w:rFonts w:ascii="Times New Roman" w:hAnsi="Times New Roman" w:cs="Times New Roman"/>
          <w:b/>
          <w:color w:val="000000"/>
          <w:highlight w:val="white"/>
        </w:rPr>
      </w:pPr>
    </w:p>
    <w:p w:rsidR="004F30A7" w:rsidRDefault="00EB39BC">
      <w:pPr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</w:rPr>
        <w:t>1.</w:t>
      </w:r>
      <w:r>
        <w:rPr>
          <w:rFonts w:ascii="Times New Roman" w:hAnsi="Times New Roman" w:cs="Times New Roman"/>
          <w:b/>
          <w:bCs/>
          <w:color w:val="000000"/>
        </w:rPr>
        <w:tab/>
        <w:t>ПРЕДМЕТ ДОГОВОРА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</w:rPr>
        <w:t>1.1.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color w:val="000000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p w:rsidR="004F30A7" w:rsidRDefault="004F30A7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</w:rPr>
      </w:pPr>
    </w:p>
    <w:tbl>
      <w:tblPr>
        <w:tblW w:w="10079" w:type="dxa"/>
        <w:tblInd w:w="217" w:type="dxa"/>
        <w:tblLook w:val="0400" w:firstRow="0" w:lastRow="0" w:firstColumn="0" w:lastColumn="0" w:noHBand="0" w:noVBand="1"/>
      </w:tblPr>
      <w:tblGrid>
        <w:gridCol w:w="417"/>
        <w:gridCol w:w="2549"/>
        <w:gridCol w:w="607"/>
        <w:gridCol w:w="1140"/>
        <w:gridCol w:w="1504"/>
        <w:gridCol w:w="1030"/>
        <w:gridCol w:w="1378"/>
        <w:gridCol w:w="1454"/>
      </w:tblGrid>
      <w:tr w:rsidR="004F30A7">
        <w:trPr>
          <w:trHeight w:val="435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Ед. изм.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>
              <w:rPr>
                <w:rFonts w:ascii="Times New Roman" w:hAnsi="Times New Roman" w:cs="Times New Roman"/>
              </w:rPr>
              <w:t xml:space="preserve">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30A7">
        <w:trPr>
          <w:trHeight w:val="428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Pr="00EB39BC" w:rsidRDefault="00EB39BC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highlight w:val="white"/>
              </w:rPr>
              <w:t>Бесконтактный</w:t>
            </w:r>
            <w:r w:rsidRPr="00EB39BC">
              <w:rPr>
                <w:rFonts w:ascii="Times New Roman" w:hAnsi="Times New Roman" w:cs="Times New Roman"/>
                <w:highlight w:val="white"/>
                <w:lang w:val="en-US"/>
              </w:rPr>
              <w:t xml:space="preserve"> POS-</w:t>
            </w:r>
            <w:r>
              <w:rPr>
                <w:rFonts w:ascii="Times New Roman" w:hAnsi="Times New Roman" w:cs="Times New Roman"/>
                <w:highlight w:val="white"/>
              </w:rPr>
              <w:t>терминал</w:t>
            </w:r>
            <w:r w:rsidRPr="00EB39BC">
              <w:rPr>
                <w:rFonts w:ascii="Times New Roman" w:hAnsi="Times New Roman" w:cs="Times New Roman"/>
                <w:highlight w:val="white"/>
                <w:lang w:val="en-US"/>
              </w:rPr>
              <w:t xml:space="preserve"> PAX A910 4G BT WIFI CTLS fiscal version, </w:t>
            </w:r>
            <w:r>
              <w:rPr>
                <w:rFonts w:ascii="Times New Roman" w:hAnsi="Times New Roman" w:cs="Times New Roman"/>
                <w:highlight w:val="white"/>
              </w:rPr>
              <w:t>ПО</w:t>
            </w:r>
            <w:r w:rsidRPr="00EB39BC">
              <w:rPr>
                <w:rFonts w:ascii="Times New Roman" w:hAnsi="Times New Roman" w:cs="Times New Roman"/>
                <w:highlight w:val="white"/>
                <w:lang w:val="en-US"/>
              </w:rPr>
              <w:t xml:space="preserve"> “INPAS SOFT </w:t>
            </w:r>
            <w:proofErr w:type="spellStart"/>
            <w:r w:rsidRPr="00EB39BC">
              <w:rPr>
                <w:rFonts w:ascii="Times New Roman" w:hAnsi="Times New Roman" w:cs="Times New Roman"/>
                <w:highlight w:val="white"/>
                <w:lang w:val="en-US"/>
              </w:rPr>
              <w:t>Unipos</w:t>
            </w:r>
            <w:proofErr w:type="spellEnd"/>
            <w:r w:rsidRPr="00EB39BC">
              <w:rPr>
                <w:rFonts w:ascii="Times New Roman" w:hAnsi="Times New Roman" w:cs="Times New Roman"/>
                <w:highlight w:val="white"/>
                <w:lang w:val="en-US"/>
              </w:rPr>
              <w:t xml:space="preserve"> Droid»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4F30A7">
        <w:trPr>
          <w:trHeight w:val="456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4F30A7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4F30A7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4F30A7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4F30A7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F30A7" w:rsidRDefault="00EB39BC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4F30A7" w:rsidRDefault="00EB39BC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</w:rPr>
        <w:t xml:space="preserve">2. СТОИМОСТЬ ОБОРУДОВАНИЯ И ПОРЯДОК РАСЧЕТОВ 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</w:rPr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</w:t>
      </w:r>
      <w:r>
        <w:rPr>
          <w:rFonts w:ascii="Times New Roman" w:hAnsi="Times New Roman" w:cs="Times New Roman"/>
          <w:bCs/>
          <w:color w:val="000000"/>
          <w:spacing w:val="-3"/>
        </w:rPr>
        <w:t xml:space="preserve"> , в том числе НДС по ставке 20% в размере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color w:val="000000"/>
          <w:spacing w:val="-3"/>
        </w:rPr>
        <w:t>2.2.</w:t>
      </w:r>
      <w:r>
        <w:rPr>
          <w:rFonts w:ascii="Times New Roman" w:hAnsi="Times New Roman" w:cs="Times New Roman"/>
          <w:color w:val="000000"/>
          <w:spacing w:val="-3"/>
        </w:rPr>
        <w:tab/>
        <w:t>Покупатель производит предоплату в размере 100 (сто)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</w:t>
      </w:r>
      <w:r>
        <w:rPr>
          <w:rFonts w:ascii="Times New Roman" w:hAnsi="Times New Roman" w:cs="Times New Roman"/>
          <w:color w:val="000000"/>
          <w:spacing w:val="-3"/>
        </w:rPr>
        <w:t>ора.</w:t>
      </w:r>
    </w:p>
    <w:p w:rsidR="004F30A7" w:rsidRDefault="004F30A7">
      <w:pPr>
        <w:keepLines/>
        <w:shd w:val="clear" w:color="auto" w:fill="FFFFFF"/>
        <w:tabs>
          <w:tab w:val="left" w:pos="284"/>
        </w:tabs>
        <w:jc w:val="center"/>
        <w:rPr>
          <w:rFonts w:ascii="Times New Roman" w:hAnsi="Times New Roman" w:cs="Times New Roman"/>
          <w:b/>
          <w:color w:val="000000"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3. ПОРЯДОК ПОСТАВКИ И СРОКИ ПЕРЕДАЧИ ОБОРУДОВАНИЯ</w:t>
      </w:r>
    </w:p>
    <w:p w:rsidR="004F30A7" w:rsidRDefault="00EB39BC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3.1. Срок поставки подготовленного к работе Оборудования зависит от сроков заключения Покупателем договора </w:t>
      </w:r>
      <w:proofErr w:type="spellStart"/>
      <w:r>
        <w:rPr>
          <w:rFonts w:ascii="Times New Roman" w:hAnsi="Times New Roman" w:cs="Times New Roman"/>
          <w:color w:val="000000"/>
        </w:rPr>
        <w:t>эквайринга</w:t>
      </w:r>
      <w:proofErr w:type="spellEnd"/>
      <w:r>
        <w:rPr>
          <w:rFonts w:ascii="Times New Roman" w:hAnsi="Times New Roman" w:cs="Times New Roman"/>
          <w:color w:val="000000"/>
        </w:rPr>
        <w:t xml:space="preserve"> с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ОАО, поступления заявки Поставщику на подготовку и установку Оборудо</w:t>
      </w:r>
      <w:r>
        <w:rPr>
          <w:rFonts w:ascii="Times New Roman" w:hAnsi="Times New Roman" w:cs="Times New Roman"/>
          <w:color w:val="000000"/>
        </w:rPr>
        <w:t>вания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ОАО, а также от технического соответствия и готовности торговой точки Покупателя к подключению Оборудования. В случае полного технического соответствия и готовности торговой точки к подключению Оборудования срок поставки не превышает 3</w:t>
      </w:r>
      <w:r>
        <w:rPr>
          <w:rFonts w:ascii="Times New Roman" w:hAnsi="Times New Roman" w:cs="Times New Roman"/>
          <w:color w:val="000000"/>
        </w:rPr>
        <w:t>0 (тридцати) дней со дня поступления заявки в адрес Поставщика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 на установку Оборудования Покупателю (далее – Заявка).</w:t>
      </w:r>
    </w:p>
    <w:p w:rsidR="004F30A7" w:rsidRDefault="00EB39BC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</w:rPr>
      </w:pPr>
      <w:bookmarkStart w:id="1" w:name="_heading=h.gjdgxs"/>
      <w:bookmarkEnd w:id="1"/>
      <w:r>
        <w:rPr>
          <w:rFonts w:ascii="Times New Roman" w:hAnsi="Times New Roman" w:cs="Times New Roman"/>
          <w:color w:val="000000"/>
        </w:rPr>
        <w:t>3.2. Оборудование передается Покупателю после внесения предоплаты полностью подготовленное к работе (за исключением п.3</w:t>
      </w:r>
      <w:r>
        <w:rPr>
          <w:rFonts w:ascii="Times New Roman" w:hAnsi="Times New Roman" w:cs="Times New Roman"/>
          <w:color w:val="000000"/>
        </w:rPr>
        <w:t>.3 настоящего Договора)</w:t>
      </w:r>
      <w:r>
        <w:rPr>
          <w:rFonts w:ascii="Times New Roman" w:hAnsi="Times New Roman" w:cs="Times New Roman"/>
          <w:b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 Подготовка Оборудования к работе осуществляется в следующем порядке:</w:t>
      </w:r>
    </w:p>
    <w:p w:rsidR="004F30A7" w:rsidRDefault="00EB39BC">
      <w:pPr>
        <w:keepLines/>
        <w:shd w:val="clear" w:color="auto" w:fill="FFFFFF"/>
        <w:tabs>
          <w:tab w:val="left" w:pos="1276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3.2.1. После оплаты за Оборудование, Поставщик сообщает Покупателю серийный номер Оборудования, который Покупатель обязан сообщить в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 xml:space="preserve">» ОАО. 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3.2.2. Пос</w:t>
      </w:r>
      <w:r>
        <w:rPr>
          <w:rFonts w:ascii="Times New Roman" w:hAnsi="Times New Roman" w:cs="Times New Roman"/>
          <w:color w:val="000000"/>
        </w:rPr>
        <w:t>ле поступления Заявки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 Поставщик осуществляет прошивку ключей в Оборудование.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3.2.3. После готовности Оборудования к работе Поставщик согласовывает с Покупателем срок передачи и установки Оборудования на указанной в Заявке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</w:t>
      </w:r>
      <w:r>
        <w:rPr>
          <w:rFonts w:ascii="Times New Roman" w:hAnsi="Times New Roman" w:cs="Times New Roman"/>
          <w:color w:val="000000"/>
        </w:rPr>
        <w:t xml:space="preserve"> торговой точке (место установки Оборудования).</w:t>
      </w:r>
    </w:p>
    <w:p w:rsidR="004F30A7" w:rsidRDefault="00EB39BC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3.3. Покупатель вправе, в случае необходимости, получить Оборудование, не подготовленное к работе, в течение 10 (десяти) рабочих дней со дня оплаты в месте расположения Поставщика по адресу: </w:t>
      </w:r>
      <w:proofErr w:type="spellStart"/>
      <w:r>
        <w:rPr>
          <w:rFonts w:ascii="Times New Roman" w:hAnsi="Times New Roman" w:cs="Times New Roman"/>
          <w:color w:val="000000"/>
        </w:rPr>
        <w:t>г.Минск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ул.Минин</w:t>
      </w:r>
      <w:r>
        <w:rPr>
          <w:rFonts w:ascii="Times New Roman" w:hAnsi="Times New Roman" w:cs="Times New Roman"/>
          <w:color w:val="000000"/>
        </w:rPr>
        <w:t>а</w:t>
      </w:r>
      <w:proofErr w:type="spellEnd"/>
      <w:r>
        <w:rPr>
          <w:rFonts w:ascii="Times New Roman" w:hAnsi="Times New Roman" w:cs="Times New Roman"/>
          <w:color w:val="000000"/>
        </w:rPr>
        <w:t>, 23А, силами и за счет средств Покупателя. Для подготовки Оборудования к работе Покупатель обязан предоставить Оборудование Поставщику в срок, согласованный с Поставщиком, но не ранее дня поступления Заявки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 в адрес Поставщика.</w:t>
      </w:r>
    </w:p>
    <w:p w:rsidR="004F30A7" w:rsidRDefault="00EB39BC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3.4. Датой поставки считается дата приемки Оборудования в соответствии с ТН согласно п.3.3. Договора. В случае доставки и установки Оборудования на торговую точку (место установки Оборудования) Покупателя, дата поставки является отметка Покупателя в сервис</w:t>
      </w:r>
      <w:r>
        <w:rPr>
          <w:rFonts w:ascii="Times New Roman" w:hAnsi="Times New Roman" w:cs="Times New Roman"/>
          <w:color w:val="000000"/>
        </w:rPr>
        <w:t>ной карте Оборудования. С момента передачи Оборудования по ТН (отметки в сервисной карте) к Покупателю переходит риск случайной гибели и (или) повреждения Оборудования. Право собственности на Оборудование переходит к Покупателю с момента его полной оплаты.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4F30A7" w:rsidRDefault="00EB39BC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3.5. Приёмка Оборудования производится в соответствии с Положением о приёмке товара по количеству и качеству (Постановление Совета Министров Республики Беларусь от 03.09.2008 №1290).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3.6. Поставщик обязуется поставить Оборудование Покупателю своими силам</w:t>
      </w:r>
      <w:r>
        <w:rPr>
          <w:rFonts w:ascii="Times New Roman" w:hAnsi="Times New Roman" w:cs="Times New Roman"/>
          <w:color w:val="000000"/>
        </w:rPr>
        <w:t xml:space="preserve">и и за счет собственных средств, за исключением пп.3.3 настоящего Договора. 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3.7. Покупатель обязан совершить все необходимые действия, обеспечивающие принятие Оборудования, поставляемого в соответствии с настоящим Договором, в том числе обеспечить присутс</w:t>
      </w:r>
      <w:r>
        <w:rPr>
          <w:rFonts w:ascii="Times New Roman" w:hAnsi="Times New Roman" w:cs="Times New Roman"/>
          <w:color w:val="000000"/>
        </w:rPr>
        <w:t>твие лица, уполномоченного на подпись ТН, в месте и в день поставки Оборудования.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3.8. В случае если Оборудование не было передано Покупателю по его вине (в том числе в случае нарушения п.3.7. настоящего Договора), повторная доставка производится в новые с</w:t>
      </w:r>
      <w:r>
        <w:rPr>
          <w:rFonts w:ascii="Times New Roman" w:hAnsi="Times New Roman" w:cs="Times New Roman"/>
          <w:color w:val="000000"/>
        </w:rPr>
        <w:t>роки, согласованные с Поставщиком после дополнительной оплаты Покупателем стоимости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4F30A7" w:rsidRDefault="004F30A7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4.</w:t>
      </w:r>
      <w:r>
        <w:rPr>
          <w:rFonts w:ascii="Times New Roman" w:hAnsi="Times New Roman" w:cs="Times New Roman"/>
          <w:b/>
          <w:color w:val="000000"/>
        </w:rPr>
        <w:tab/>
        <w:t>ГАРАНТИЙНЫЕ ОБЯЗАТЕЛЬСТВА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4.1.</w:t>
      </w:r>
      <w:r>
        <w:rPr>
          <w:rFonts w:ascii="Times New Roman" w:hAnsi="Times New Roman" w:cs="Times New Roman"/>
          <w:color w:val="000000"/>
        </w:rPr>
        <w:tab/>
        <w:t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гарантийного случая про</w:t>
      </w:r>
      <w:r>
        <w:rPr>
          <w:rFonts w:ascii="Times New Roman" w:hAnsi="Times New Roman" w:cs="Times New Roman"/>
          <w:color w:val="000000"/>
        </w:rPr>
        <w:t>изводится только в ООО «</w:t>
      </w:r>
      <w:proofErr w:type="spellStart"/>
      <w:r>
        <w:rPr>
          <w:rFonts w:ascii="Times New Roman" w:hAnsi="Times New Roman" w:cs="Times New Roman"/>
          <w:color w:val="000000"/>
        </w:rPr>
        <w:t>БайТехСервис</w:t>
      </w:r>
      <w:proofErr w:type="spellEnd"/>
      <w:r>
        <w:rPr>
          <w:rFonts w:ascii="Times New Roman" w:hAnsi="Times New Roman" w:cs="Times New Roman"/>
          <w:color w:val="000000"/>
        </w:rPr>
        <w:t>».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4.2.</w:t>
      </w:r>
      <w:r>
        <w:rPr>
          <w:rFonts w:ascii="Times New Roman" w:hAnsi="Times New Roman" w:cs="Times New Roman"/>
          <w:color w:val="000000"/>
        </w:rPr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4.3.</w:t>
      </w:r>
      <w:r>
        <w:rPr>
          <w:rFonts w:ascii="Times New Roman" w:hAnsi="Times New Roman" w:cs="Times New Roman"/>
          <w:color w:val="000000"/>
        </w:rPr>
        <w:tab/>
        <w:t>При невозможности проведения ремонта в течение 30 рабочих дней с момента обращения, Поставщик производи</w:t>
      </w:r>
      <w:r>
        <w:rPr>
          <w:rFonts w:ascii="Times New Roman" w:hAnsi="Times New Roman" w:cs="Times New Roman"/>
          <w:color w:val="000000"/>
        </w:rPr>
        <w:t>т замену Оборудования на аналогичное. При отсутствии замены выплачивается полная стоимость Оборудования.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4.4.</w:t>
      </w:r>
      <w:r>
        <w:rPr>
          <w:rFonts w:ascii="Times New Roman" w:hAnsi="Times New Roman" w:cs="Times New Roman"/>
          <w:color w:val="000000"/>
        </w:rPr>
        <w:tab/>
        <w:t>Гарантийный срок на Оборудование составляет 12 месяцев с даты поставки.</w:t>
      </w:r>
    </w:p>
    <w:p w:rsidR="004F30A7" w:rsidRDefault="004F30A7">
      <w:pPr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4F30A7" w:rsidRDefault="00EB39BC">
      <w:pPr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5. ПРАВО НА ПРОГРАММНОЕ ОБЕСПЕЧЕНИЕ</w:t>
      </w:r>
    </w:p>
    <w:p w:rsidR="004F30A7" w:rsidRDefault="00EB39BC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5.1. Покупатель приобретает Оборудова</w:t>
      </w:r>
      <w:r>
        <w:rPr>
          <w:rFonts w:ascii="Times New Roman" w:hAnsi="Times New Roman" w:cs="Times New Roman"/>
          <w:color w:val="000000"/>
        </w:rPr>
        <w:t xml:space="preserve">ние с установленным на нем программным обеспечением INPAS SOFT </w:t>
      </w:r>
      <w:proofErr w:type="spellStart"/>
      <w:r>
        <w:rPr>
          <w:rFonts w:ascii="Times New Roman" w:hAnsi="Times New Roman" w:cs="Times New Roman"/>
          <w:color w:val="000000"/>
        </w:rPr>
        <w:t>Unipos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Droid</w:t>
      </w:r>
      <w:proofErr w:type="spellEnd"/>
      <w:r>
        <w:rPr>
          <w:rFonts w:ascii="Times New Roman" w:hAnsi="Times New Roman" w:cs="Times New Roman"/>
          <w:color w:val="000000"/>
        </w:rPr>
        <w:t xml:space="preserve"> (далее – ПО 1) и программным обеспечением оператора программных касс (далее ПО 2). Покупателю предоставляется неисключительное (ограниченное) право на использование в собственной д</w:t>
      </w:r>
      <w:r>
        <w:rPr>
          <w:rFonts w:ascii="Times New Roman" w:hAnsi="Times New Roman" w:cs="Times New Roman"/>
          <w:color w:val="000000"/>
        </w:rPr>
        <w:t>еятельности вышеназванного ПО на территории Республики Беларусь в течение 1 (одного) года с даты поставки оборудования.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5.2. Поставщик обязуется передать Покупателю неисключительное (ограниченное) право на использование ПО 1 в следующем объеме (простая </w:t>
      </w:r>
      <w:r>
        <w:rPr>
          <w:rFonts w:ascii="Times New Roman" w:hAnsi="Times New Roman" w:cs="Times New Roman"/>
          <w:color w:val="000000"/>
        </w:rPr>
        <w:t>неисключительная лицензия): использование ПО 1 (запуск и работа с ПО, в том числе использование заложенных в ПО1 функциональных возможностей).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5.3. Лицензионное вознаграждение использования ПО 1 включено в цену Оборудования.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5.4. Поставщик гарантирует, что</w:t>
      </w:r>
      <w:r>
        <w:rPr>
          <w:rFonts w:ascii="Times New Roman" w:hAnsi="Times New Roman" w:cs="Times New Roman"/>
          <w:color w:val="000000"/>
        </w:rPr>
        <w:t xml:space="preserve"> он действует в пределах прав и полномочий, предоставленных ему Правообладателем ПО 1.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5.5. Получение обновлений ПО 1 по истечении одного года с момента передачи Оборудования Покупателю осуществляется на основании выставляемых ежегодно Поставщиком счет-про</w:t>
      </w:r>
      <w:r>
        <w:rPr>
          <w:rFonts w:ascii="Times New Roman" w:hAnsi="Times New Roman" w:cs="Times New Roman"/>
          <w:color w:val="000000"/>
        </w:rPr>
        <w:t>токолов. Покупатель обязан оплатить счет в течение пяти рабочих дней с момента получения. В случае неоплаты счета, Поставщик не несет ответственность за корректную работу ПО 1 на оборудовании Покупателя, устранение возможных уязвимостей, применение новых с</w:t>
      </w:r>
      <w:r>
        <w:rPr>
          <w:rFonts w:ascii="Times New Roman" w:hAnsi="Times New Roman" w:cs="Times New Roman"/>
          <w:color w:val="000000"/>
        </w:rPr>
        <w:t>тандартов безопасности, разработанных производителем ПО 1.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5.6. Взаимоотношения по использованию ПО 2 регулируются договором, заключаемым Покупателем с оператором программных касс.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5.7. Покупатель имеет право установить дополнительное программное обеспечен</w:t>
      </w:r>
      <w:r>
        <w:rPr>
          <w:rFonts w:ascii="Times New Roman" w:hAnsi="Times New Roman" w:cs="Times New Roman"/>
          <w:color w:val="000000"/>
        </w:rPr>
        <w:t>ие на Оборудование по согласованию с Поставщиком на возмездной основе.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5.8. Перечень дополнительно устанавливаемого на программное оборудование программного обеспечения оформляется в виде дополнительного соглашения и является неотъемлемой частью настоящего</w:t>
      </w:r>
      <w:r>
        <w:rPr>
          <w:rFonts w:ascii="Times New Roman" w:hAnsi="Times New Roman" w:cs="Times New Roman"/>
          <w:color w:val="000000"/>
        </w:rPr>
        <w:t xml:space="preserve"> Договора.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5.9.  Покупатель несет ответственность за «лицензионную чистоту» дополнительно установленного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</w:t>
      </w:r>
      <w:r>
        <w:rPr>
          <w:rFonts w:ascii="Times New Roman" w:hAnsi="Times New Roman" w:cs="Times New Roman"/>
          <w:color w:val="000000"/>
        </w:rPr>
        <w:t>я с ПО 1 и ПО 2.</w:t>
      </w:r>
    </w:p>
    <w:p w:rsidR="004F30A7" w:rsidRDefault="004F30A7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  <w:highlight w:val="white"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6. СПОРЫ И РАЗНОГЛАСИЯ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6.1. Стороны установили претензионный порядок урегулирования спора. Срок рассмотрения претензии – 10 календарных дней с момента получения.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6.2. Споры подлежат разрешению в Экономическом суде г. Минска.</w:t>
      </w:r>
    </w:p>
    <w:p w:rsidR="004F30A7" w:rsidRDefault="004F30A7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7. ОТВЕТСТВЕ</w:t>
      </w:r>
      <w:r>
        <w:rPr>
          <w:rFonts w:ascii="Times New Roman" w:hAnsi="Times New Roman" w:cs="Times New Roman"/>
          <w:b/>
          <w:color w:val="000000"/>
        </w:rPr>
        <w:t>ННОСТЬ СТОРОН</w:t>
      </w:r>
    </w:p>
    <w:p w:rsidR="004F30A7" w:rsidRDefault="00EB39BC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7.1. В случае несвоевременной поставки Оборудования по вине Поставщика (раздел 3 Договора), Поставщик уплачивает пеню в размере 0,1% от стоимости не поставленного в срок Оборудования за каждый день просрочки, но не более 5% от стоимости не по</w:t>
      </w:r>
      <w:r>
        <w:rPr>
          <w:rFonts w:ascii="Times New Roman" w:hAnsi="Times New Roman" w:cs="Times New Roman"/>
          <w:color w:val="000000"/>
        </w:rPr>
        <w:t>ставленного в срок Оборудования.</w:t>
      </w:r>
    </w:p>
    <w:p w:rsidR="004F30A7" w:rsidRDefault="004F30A7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8.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</w:rPr>
        <w:t>ФОРС-МАЖОР</w:t>
      </w:r>
    </w:p>
    <w:p w:rsidR="004F30A7" w:rsidRDefault="00EB39BC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8.1. Ни одна из Сторон настоящего Договора не будет нести ответственность за неисполнение или ненадлежащее исполнение своих обязательств по настоящему Договору, если такое неисполнение или ненадлежащее исполн</w:t>
      </w:r>
      <w:r>
        <w:rPr>
          <w:rFonts w:ascii="Times New Roman" w:hAnsi="Times New Roman" w:cs="Times New Roman"/>
        </w:rPr>
        <w:t>ение вызваны действием обстоятельств непреодолимой для Сторон по Договору силы (форс-мажора), к которым относятся: 1) наводнение; 2) пожар; 3) землетрясение и другие стихийные бедствия; 4) беспорядки или военные действия, а также любые другие, возникшие по</w:t>
      </w:r>
      <w:r>
        <w:rPr>
          <w:rFonts w:ascii="Times New Roman" w:hAnsi="Times New Roman" w:cs="Times New Roman"/>
        </w:rPr>
        <w:t>сле заключения Договора обстоятельства, возникновение и существование которых находится вне разумного контроля Сторон.</w:t>
      </w:r>
    </w:p>
    <w:p w:rsidR="004F30A7" w:rsidRDefault="00EB39BC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8.2. Если любое из таких обстоятельств непосредственно повлекло неисполнение или ненадлежащее исполнение Стороной своих обязательств в ср</w:t>
      </w:r>
      <w:r>
        <w:rPr>
          <w:rFonts w:ascii="Times New Roman" w:hAnsi="Times New Roman" w:cs="Times New Roman"/>
        </w:rPr>
        <w:t>ок, установленный настоящим Договором, то этот срок соразмерно отодвигается на время действия соответствующего обстоятельства.</w:t>
      </w:r>
    </w:p>
    <w:p w:rsidR="004F30A7" w:rsidRDefault="00EB39BC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8.3. О наступлении обстоятельств форс-мажора Сторона, для которой они наступили, обязана немедленно проинформировать другую Сторо</w:t>
      </w:r>
      <w:r>
        <w:rPr>
          <w:rFonts w:ascii="Times New Roman" w:hAnsi="Times New Roman" w:cs="Times New Roman"/>
        </w:rPr>
        <w:t>ну.</w:t>
      </w:r>
    </w:p>
    <w:p w:rsidR="004F30A7" w:rsidRDefault="00EB39BC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8.4. Если действие обстоятельств форс-мажора будет продолжаться более 1 (одного) месяца, каждая Сторона вправе отказаться от исполнения своих обязательств по настоящему Договору и прекратить действие настоящего Договора.</w:t>
      </w:r>
    </w:p>
    <w:p w:rsidR="004F30A7" w:rsidRDefault="004F30A7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9.</w:t>
      </w:r>
      <w:r>
        <w:rPr>
          <w:rFonts w:ascii="Times New Roman" w:hAnsi="Times New Roman" w:cs="Times New Roman"/>
          <w:b/>
          <w:color w:val="000000"/>
        </w:rPr>
        <w:tab/>
        <w:t>ПРОЧИЕ УСЛОВИЯ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Настоящий договор вступает в силу с момента его подписания и действует до исполнения сторонами своих обязательств.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9.2.</w:t>
      </w:r>
      <w:r>
        <w:rPr>
          <w:rFonts w:ascii="Times New Roman" w:hAnsi="Times New Roman" w:cs="Times New Roman"/>
          <w:color w:val="000000"/>
        </w:rPr>
        <w:tab/>
        <w:t xml:space="preserve">Настоящий договор составлен в двух экземплярах, имеющих одинаковую юридическую силу, один из которых находится у Поставщика, второй - у </w:t>
      </w:r>
      <w:r>
        <w:rPr>
          <w:rFonts w:ascii="Times New Roman" w:hAnsi="Times New Roman" w:cs="Times New Roman"/>
          <w:color w:val="000000"/>
        </w:rPr>
        <w:t>Покупателя.</w:t>
      </w:r>
    </w:p>
    <w:p w:rsidR="004F30A7" w:rsidRDefault="00EB39BC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9.3.</w:t>
      </w:r>
      <w:r>
        <w:rPr>
          <w:rFonts w:ascii="Times New Roman" w:hAnsi="Times New Roman" w:cs="Times New Roman"/>
          <w:color w:val="000000"/>
        </w:rPr>
        <w:tab/>
        <w:t>Во всех иных вопросах стороны руководствуются действующим законодательством Республики Беларусь.</w:t>
      </w:r>
    </w:p>
    <w:p w:rsidR="004F30A7" w:rsidRDefault="004F30A7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b/>
        </w:rPr>
      </w:pPr>
    </w:p>
    <w:p w:rsidR="004F30A7" w:rsidRDefault="00EB39BC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color w:val="000000"/>
        </w:rPr>
        <w:t>10. АДРЕСА, БАНКОВСКИЕ РЕКВИЗИТЫ И ПОДПИСИ ПРЕДСТАВИТЕЛЕЙ</w:t>
      </w:r>
    </w:p>
    <w:tbl>
      <w:tblPr>
        <w:tblW w:w="9923" w:type="dxa"/>
        <w:tblInd w:w="109" w:type="dxa"/>
        <w:tblLook w:val="0400" w:firstRow="0" w:lastRow="0" w:firstColumn="0" w:lastColumn="0" w:noHBand="0" w:noVBand="1"/>
      </w:tblPr>
      <w:tblGrid>
        <w:gridCol w:w="5197"/>
        <w:gridCol w:w="4726"/>
      </w:tblGrid>
      <w:tr w:rsidR="004F30A7">
        <w:trPr>
          <w:trHeight w:val="285"/>
        </w:trPr>
        <w:tc>
          <w:tcPr>
            <w:tcW w:w="5196" w:type="dxa"/>
            <w:shd w:val="clear" w:color="auto" w:fill="auto"/>
          </w:tcPr>
          <w:p w:rsidR="004F30A7" w:rsidRDefault="00EB39BC">
            <w:pPr>
              <w:keepLines/>
              <w:ind w:righ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4726" w:type="dxa"/>
            <w:shd w:val="clear" w:color="auto" w:fill="auto"/>
          </w:tcPr>
          <w:p w:rsidR="004F30A7" w:rsidRDefault="00EB39BC">
            <w:pPr>
              <w:keepLines/>
              <w:ind w:right="58"/>
              <w:rPr>
                <w:rFonts w:ascii="Times New Roman" w:hAnsi="Times New Roman" w:cs="Times New Roman"/>
                <w:highlight w:val="yellow"/>
              </w:rPr>
            </w:pPr>
            <w:r w:rsidRPr="00EB39BC">
              <w:rPr>
                <w:rFonts w:ascii="Times New Roman" w:hAnsi="Times New Roman" w:cs="Times New Roman"/>
                <w:b/>
                <w:color w:val="000000"/>
              </w:rPr>
              <w:t>Покупатель</w:t>
            </w:r>
          </w:p>
        </w:tc>
      </w:tr>
      <w:tr w:rsidR="004F30A7" w:rsidRPr="00EB39BC">
        <w:trPr>
          <w:trHeight w:val="2157"/>
        </w:trPr>
        <w:tc>
          <w:tcPr>
            <w:tcW w:w="5196" w:type="dxa"/>
            <w:shd w:val="clear" w:color="auto" w:fill="auto"/>
          </w:tcPr>
          <w:p w:rsidR="004F30A7" w:rsidRDefault="00EB39BC">
            <w:pPr>
              <w:keepLines/>
              <w:ind w:right="57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БайТехСервис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>»</w:t>
            </w:r>
          </w:p>
          <w:p w:rsidR="004F30A7" w:rsidRDefault="00EB39BC">
            <w:pPr>
              <w:keepLines/>
              <w:ind w:right="5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220014, Республика Беларусь, г. Минск, </w:t>
            </w:r>
          </w:p>
          <w:p w:rsidR="004F30A7" w:rsidRDefault="00EB39BC">
            <w:pPr>
              <w:keepLines/>
              <w:ind w:right="5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ул. Минина, 23А</w:t>
            </w:r>
          </w:p>
          <w:p w:rsidR="004F30A7" w:rsidRDefault="00EB39BC">
            <w:pPr>
              <w:keepLines/>
              <w:ind w:right="5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УНП 191263307, ОКПО 378554755000</w:t>
            </w:r>
          </w:p>
          <w:p w:rsidR="004F30A7" w:rsidRDefault="00EB3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Банковские реквизиты:</w:t>
            </w:r>
          </w:p>
          <w:p w:rsidR="004F30A7" w:rsidRDefault="00EB3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Р/счет (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 xml:space="preserve">.) BY77PJCB30120150121000000933 </w:t>
            </w:r>
          </w:p>
          <w:p w:rsidR="004F30A7" w:rsidRDefault="00EB3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ЦБУ №115 </w:t>
            </w:r>
            <w:proofErr w:type="spellStart"/>
            <w:r>
              <w:rPr>
                <w:rFonts w:ascii="Times New Roman" w:hAnsi="Times New Roman" w:cs="Times New Roman"/>
              </w:rPr>
              <w:t>Приорбанк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ОАО, г. Минск, </w:t>
            </w:r>
          </w:p>
          <w:p w:rsidR="004F30A7" w:rsidRDefault="00EB39BC">
            <w:pPr>
              <w:rPr>
                <w:rFonts w:ascii="Times New Roman" w:hAnsi="Times New Roman" w:cs="Times New Roman"/>
              </w:rPr>
            </w:pPr>
            <w:bookmarkStart w:id="2" w:name="_heading=h.1fob9te"/>
            <w:bookmarkEnd w:id="2"/>
            <w:r>
              <w:rPr>
                <w:rFonts w:ascii="Times New Roman" w:hAnsi="Times New Roman" w:cs="Times New Roman"/>
              </w:rPr>
              <w:t>ул. Кропоткина, 91, SWIFT/BIC: PJCBBY2X</w:t>
            </w:r>
          </w:p>
          <w:p w:rsidR="004F30A7" w:rsidRDefault="00EB39BC">
            <w:pPr>
              <w:keepLines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Тел: +375 17 219-84-</w:t>
            </w:r>
            <w:r>
              <w:rPr>
                <w:rFonts w:ascii="Times New Roman" w:hAnsi="Times New Roman" w:cs="Times New Roman"/>
              </w:rPr>
              <w:t>26</w:t>
            </w:r>
          </w:p>
          <w:p w:rsidR="004F30A7" w:rsidRDefault="00EB39BC">
            <w:pPr>
              <w:keepLines/>
              <w:ind w:right="57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E-mail: </w:t>
            </w:r>
            <w:hyperlink r:id="rId5">
              <w:r w:rsidRPr="00EB39BC">
                <w:rPr>
                  <w:lang w:val="en-US"/>
                </w:rPr>
                <w:t>sales@bytechs.by</w:t>
              </w:r>
            </w:hyperlink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4726" w:type="dxa"/>
            <w:shd w:val="clear" w:color="auto" w:fill="auto"/>
          </w:tcPr>
          <w:p w:rsidR="004F30A7" w:rsidRDefault="00EB39B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ORG_NAME</w:t>
            </w:r>
          </w:p>
          <w:p w:rsidR="004F30A7" w:rsidRDefault="00EB39BC">
            <w:pPr>
              <w:tabs>
                <w:tab w:val="left" w:pos="709"/>
              </w:tabs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legal_address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  <w:t xml:space="preserve">e-mail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{company[email]}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телефон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{company[phone]}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</w:p>
          <w:p w:rsidR="004F30A7" w:rsidRDefault="00EB39BC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УНП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UNP</w:t>
            </w:r>
          </w:p>
          <w:p w:rsidR="004F30A7" w:rsidRDefault="00EB39BC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Банковские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реквизиты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>:</w:t>
            </w:r>
          </w:p>
          <w:p w:rsidR="004F30A7" w:rsidRDefault="00EB39BC">
            <w:pPr>
              <w:keepLines/>
              <w:tabs>
                <w:tab w:val="left" w:pos="709"/>
              </w:tabs>
              <w:ind w:right="57"/>
              <w:rPr>
                <w:rFonts w:ascii="Times New Roman" w:hAnsi="Times New Roman" w:cs="Times New Roman"/>
                <w:i/>
                <w:sz w:val="18"/>
                <w:szCs w:val="18"/>
                <w:lang w:val="en-US" w:eastAsia="zh-CN"/>
              </w:rPr>
            </w:pPr>
            <w:bookmarkStart w:id="3" w:name="_GoBack"/>
            <w:r w:rsidRPr="00EB39B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en-US" w:eastAsia="zh-CN"/>
              </w:rPr>
              <w:t xml:space="preserve">р/с </w:t>
            </w:r>
            <w:bookmarkEnd w:id="3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 w:eastAsia="zh-CN"/>
              </w:rPr>
              <w:t>BANK_ACCOUNT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 w:eastAsia="zh-CN"/>
              </w:rPr>
              <w:br/>
            </w:r>
            <w:r w:rsidRPr="00EB39B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en-US" w:eastAsia="zh-CN"/>
              </w:rPr>
              <w:t xml:space="preserve">BIC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 w:eastAsia="zh-CN"/>
              </w:rPr>
              <w:t>BANK_BIC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 w:eastAsia="zh-CN"/>
              </w:rPr>
              <w:br/>
            </w:r>
            <w:proofErr w:type="spellStart"/>
            <w:r w:rsidRPr="00EB39B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en-US" w:eastAsia="zh-CN"/>
              </w:rPr>
              <w:t>наименование</w:t>
            </w:r>
            <w:proofErr w:type="spellEnd"/>
            <w:r w:rsidRPr="00EB39B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EB39B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en-US" w:eastAsia="zh-CN"/>
              </w:rPr>
              <w:t>банка</w:t>
            </w:r>
            <w:proofErr w:type="spellEnd"/>
            <w:r w:rsidRPr="00EB39B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en-US" w:eastAsia="zh-C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 w:eastAsia="zh-CN"/>
              </w:rPr>
              <w:t>BANK_NAME</w:t>
            </w:r>
          </w:p>
          <w:p w:rsidR="004F30A7" w:rsidRDefault="004F30A7">
            <w:pPr>
              <w:tabs>
                <w:tab w:val="left" w:pos="709"/>
              </w:tabs>
              <w:rPr>
                <w:highlight w:val="yellow"/>
                <w:lang w:val="en-US"/>
              </w:rPr>
            </w:pPr>
          </w:p>
          <w:p w:rsidR="004F30A7" w:rsidRDefault="004F30A7">
            <w:pPr>
              <w:tabs>
                <w:tab w:val="left" w:pos="709"/>
              </w:tabs>
              <w:rPr>
                <w:highlight w:val="yellow"/>
                <w:lang w:val="en-US"/>
              </w:rPr>
            </w:pPr>
          </w:p>
          <w:p w:rsidR="004F30A7" w:rsidRDefault="004F30A7">
            <w:pPr>
              <w:tabs>
                <w:tab w:val="left" w:pos="709"/>
              </w:tabs>
              <w:rPr>
                <w:rStyle w:val="-"/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4F30A7">
        <w:tc>
          <w:tcPr>
            <w:tcW w:w="5196" w:type="dxa"/>
            <w:shd w:val="clear" w:color="auto" w:fill="auto"/>
          </w:tcPr>
          <w:p w:rsidR="004F30A7" w:rsidRDefault="00EB39BC">
            <w:pPr>
              <w:ind w:right="58"/>
            </w:pPr>
            <w:r>
              <w:rPr>
                <w:rFonts w:ascii="Times New Roman" w:hAnsi="Times New Roman" w:cs="Times New Roman"/>
                <w:color w:val="000000"/>
              </w:rPr>
              <w:t xml:space="preserve">Заместитель генерального директора </w:t>
            </w:r>
          </w:p>
          <w:p w:rsidR="004F30A7" w:rsidRDefault="00EB39BC">
            <w:pPr>
              <w:ind w:right="58"/>
            </w:pPr>
            <w:r>
              <w:rPr>
                <w:rFonts w:ascii="Times New Roman" w:hAnsi="Times New Roman" w:cs="Times New Roman"/>
                <w:color w:val="000000"/>
              </w:rPr>
              <w:t>по коммерческим вопросам</w:t>
            </w:r>
          </w:p>
          <w:p w:rsidR="004F30A7" w:rsidRDefault="004F30A7">
            <w:pPr>
              <w:ind w:right="58"/>
            </w:pPr>
          </w:p>
          <w:p w:rsidR="004F30A7" w:rsidRDefault="004F30A7">
            <w:pPr>
              <w:ind w:right="58"/>
            </w:pPr>
          </w:p>
          <w:p w:rsidR="004F30A7" w:rsidRDefault="004F30A7">
            <w:pPr>
              <w:ind w:right="58"/>
            </w:pPr>
          </w:p>
          <w:p w:rsidR="004F30A7" w:rsidRDefault="00EB39BC">
            <w:pPr>
              <w:keepLines/>
              <w:ind w:right="58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____________________ / И.А.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Анискевич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</w:t>
            </w:r>
          </w:p>
        </w:tc>
        <w:tc>
          <w:tcPr>
            <w:tcW w:w="4726" w:type="dxa"/>
            <w:shd w:val="clear" w:color="auto" w:fill="auto"/>
          </w:tcPr>
          <w:p w:rsidR="004F30A7" w:rsidRPr="00EB39BC" w:rsidRDefault="00EB39BC">
            <w:pPr>
              <w:keepLines/>
              <w:ind w:right="58"/>
            </w:pPr>
            <w:r w:rsidRPr="00EB39BC">
              <w:rPr>
                <w:rFonts w:ascii="Times New Roman" w:hAnsi="Times New Roman" w:cs="Times New Roman"/>
                <w:color w:val="000000"/>
              </w:rPr>
              <w:t>________________________</w:t>
            </w:r>
          </w:p>
          <w:p w:rsidR="004F30A7" w:rsidRDefault="004F30A7">
            <w:pPr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4F30A7" w:rsidRDefault="004F30A7">
            <w:pPr>
              <w:keepLines/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4F30A7" w:rsidRDefault="004F30A7">
            <w:pPr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4F30A7" w:rsidRDefault="004F30A7">
            <w:pPr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4F30A7" w:rsidRDefault="00EB39BC">
            <w:pPr>
              <w:keepLines/>
              <w:ind w:right="58"/>
              <w:rPr>
                <w:highlight w:val="yellow"/>
              </w:rPr>
            </w:pPr>
            <w:r w:rsidRPr="00EB39BC">
              <w:rPr>
                <w:rFonts w:ascii="Times New Roman" w:hAnsi="Times New Roman" w:cs="Times New Roman"/>
                <w:color w:val="000000"/>
              </w:rPr>
              <w:t>______________________/________________/</w:t>
            </w:r>
          </w:p>
        </w:tc>
      </w:tr>
    </w:tbl>
    <w:p w:rsidR="004F30A7" w:rsidRDefault="004F30A7">
      <w:pPr>
        <w:keepLines/>
        <w:shd w:val="clear" w:color="auto" w:fill="FFFFFF"/>
        <w:tabs>
          <w:tab w:val="left" w:pos="6521"/>
        </w:tabs>
        <w:ind w:right="57"/>
      </w:pPr>
    </w:p>
    <w:sectPr w:rsidR="004F30A7">
      <w:pgSz w:w="11940" w:h="16862"/>
      <w:pgMar w:top="426" w:right="741" w:bottom="709" w:left="1134" w:header="0" w:footer="0" w:gutter="0"/>
      <w:pgNumType w:start="1"/>
      <w:cols w:space="720"/>
      <w:formProt w:val="0"/>
      <w:docGrid w:linePitch="10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08"/>
  <w:autoHyphenation/>
  <w:characterSpacingControl w:val="doNotCompress"/>
  <w:compat>
    <w:compatSetting w:name="compatibilityMode" w:uri="http://schemas.microsoft.com/office/word" w:val="12"/>
  </w:compat>
  <w:rsids>
    <w:rsidRoot w:val="004F30A7"/>
    <w:rsid w:val="004F30A7"/>
    <w:rsid w:val="00E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A694B-205A-4904-A7F0-A552A139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eastAsia="Times New Roman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572D5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214C7"/>
    <w:rPr>
      <w:b/>
      <w:bCs/>
    </w:rPr>
  </w:style>
  <w:style w:type="character" w:customStyle="1" w:styleId="object">
    <w:name w:val="object"/>
    <w:basedOn w:val="a0"/>
    <w:qFormat/>
    <w:rsid w:val="007A2FF7"/>
  </w:style>
  <w:style w:type="character" w:customStyle="1" w:styleId="a5">
    <w:name w:val="Выделение жирным"/>
    <w:qFormat/>
    <w:rsid w:val="00EB7087"/>
    <w:rPr>
      <w:b/>
      <w:bCs/>
    </w:rPr>
  </w:style>
  <w:style w:type="character" w:customStyle="1" w:styleId="w8qarf">
    <w:name w:val="w8qarf"/>
    <w:basedOn w:val="a0"/>
    <w:qFormat/>
    <w:rsid w:val="00466952"/>
  </w:style>
  <w:style w:type="paragraph" w:customStyle="1" w:styleId="1">
    <w:name w:val="Заголовок1"/>
    <w:basedOn w:val="a"/>
    <w:next w:val="a6"/>
    <w:qFormat/>
    <w:rsid w:val="006B740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customStyle="1" w:styleId="10">
    <w:name w:val="Название объекта1"/>
    <w:basedOn w:val="a"/>
    <w:qFormat/>
    <w:rsid w:val="00CE443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1">
    <w:name w:val="Заголовок 11"/>
    <w:next w:val="LO-normal"/>
    <w:qFormat/>
    <w:rsid w:val="007358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next w:val="LO-normal"/>
    <w:qFormat/>
    <w:rsid w:val="007358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next w:val="LO-normal"/>
    <w:qFormat/>
    <w:rsid w:val="007358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next w:val="LO-normal"/>
    <w:qFormat/>
    <w:rsid w:val="007358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51">
    <w:name w:val="Заголовок 51"/>
    <w:next w:val="LO-normal"/>
    <w:qFormat/>
    <w:rsid w:val="007358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61">
    <w:name w:val="Заголовок 61"/>
    <w:next w:val="LO-normal"/>
    <w:qFormat/>
    <w:rsid w:val="00735850"/>
    <w:pPr>
      <w:keepNext/>
      <w:keepLines/>
      <w:spacing w:before="200" w:after="40"/>
      <w:outlineLvl w:val="5"/>
    </w:pPr>
    <w:rPr>
      <w:b/>
    </w:rPr>
  </w:style>
  <w:style w:type="paragraph" w:customStyle="1" w:styleId="12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LO-normal">
    <w:name w:val="LO-normal"/>
    <w:qFormat/>
    <w:rsid w:val="00735850"/>
  </w:style>
  <w:style w:type="paragraph" w:styleId="a9">
    <w:name w:val="Title"/>
    <w:basedOn w:val="LO-normal"/>
    <w:next w:val="LO-normal"/>
    <w:qFormat/>
    <w:rsid w:val="0073585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403A77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qFormat/>
    <w:rsid w:val="004214C7"/>
    <w:pPr>
      <w:widowControl w:val="0"/>
    </w:pPr>
    <w:rPr>
      <w:rFonts w:ascii="Courier New" w:eastAsiaTheme="minorEastAsia" w:hAnsi="Courier New" w:cs="Courier New"/>
      <w:lang w:eastAsia="ru-RU" w:bidi="ar-SA"/>
    </w:rPr>
  </w:style>
  <w:style w:type="paragraph" w:customStyle="1" w:styleId="ac">
    <w:name w:val="Содержимое таблицы"/>
    <w:basedOn w:val="a"/>
    <w:qFormat/>
    <w:rsid w:val="0029252C"/>
    <w:pPr>
      <w:suppressLineNumbers/>
    </w:pPr>
  </w:style>
  <w:style w:type="paragraph" w:customStyle="1" w:styleId="Style23">
    <w:name w:val="Style23"/>
    <w:basedOn w:val="a"/>
    <w:qFormat/>
    <w:rsid w:val="00443B26"/>
    <w:pPr>
      <w:widowControl w:val="0"/>
    </w:pPr>
    <w:rPr>
      <w:rFonts w:ascii="Franklin Gothic Medium" w:hAnsi="Franklin Gothic Medium"/>
      <w:sz w:val="24"/>
      <w:szCs w:val="24"/>
    </w:rPr>
  </w:style>
  <w:style w:type="paragraph" w:styleId="ad">
    <w:name w:val="Subtitle"/>
    <w:basedOn w:val="LO-normal"/>
    <w:next w:val="LO-normal"/>
    <w:qFormat/>
    <w:rsid w:val="00E40933"/>
    <w:rPr>
      <w:sz w:val="48"/>
      <w:szCs w:val="48"/>
    </w:rPr>
  </w:style>
  <w:style w:type="paragraph" w:customStyle="1" w:styleId="Default">
    <w:name w:val="Default"/>
    <w:qFormat/>
    <w:rsid w:val="008D45CF"/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ae">
    <w:name w:val="Верхний и нижний колонтитулы"/>
    <w:basedOn w:val="a"/>
    <w:qFormat/>
  </w:style>
  <w:style w:type="paragraph" w:customStyle="1" w:styleId="14">
    <w:name w:val="Верхний колонтитул1"/>
    <w:basedOn w:val="a"/>
    <w:rsid w:val="00466952"/>
    <w:pPr>
      <w:tabs>
        <w:tab w:val="center" w:pos="4677"/>
        <w:tab w:val="right" w:pos="9355"/>
      </w:tabs>
    </w:pPr>
  </w:style>
  <w:style w:type="table" w:customStyle="1" w:styleId="TableNormal">
    <w:name w:val="Table Normal"/>
    <w:rsid w:val="0073585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les@bytechs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VxJxRdeHKrIjBihzk4xxh0P67w==">AMUW2mW5It3N52/UBFtDakQzjNXS6Zc9k9O2hggJJRaPukGgKPruzq3+436hZKAmgmLsboEVkk6CjOcCpZFFSKdA5aYxYGkOIti0XDx0Ak6sJ5UfYSqP/94ydr1jSXo2eAfDSgHQDd9UbS51cuAZpp1vn5F86Afeyw==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1582</Words>
  <Characters>9019</Characters>
  <Application>Microsoft Office Word</Application>
  <DocSecurity>0</DocSecurity>
  <Lines>75</Lines>
  <Paragraphs>21</Paragraphs>
  <ScaleCrop>false</ScaleCrop>
  <Company>Microsoft</Company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Ilya Koren</cp:lastModifiedBy>
  <cp:revision>8</cp:revision>
  <cp:lastPrinted>2022-04-18T06:59:00Z</cp:lastPrinted>
  <dcterms:created xsi:type="dcterms:W3CDTF">2022-07-04T08:45:00Z</dcterms:created>
  <dcterms:modified xsi:type="dcterms:W3CDTF">2022-07-21T13:25:00Z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