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709" w:leader="none"/>
        </w:tabs>
        <w:spacing w:before="0" w:after="120"/>
        <w:ind w:firstLine="284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709" w:leader="none"/>
        </w:tabs>
        <w:spacing w:before="0" w:after="120"/>
        <w:ind w:firstLine="284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ДОПОЛНИТЕЛЬНОЕ СОГЛАШЕНИЕ </w:t>
      </w:r>
    </w:p>
    <w:p>
      <w:pPr>
        <w:pStyle w:val="Normal"/>
        <w:tabs>
          <w:tab w:val="clear" w:pos="708"/>
          <w:tab w:val="left" w:pos="709" w:leader="none"/>
        </w:tabs>
        <w:spacing w:before="0" w:after="120"/>
        <w:ind w:firstLine="284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К ДОГОВОРУ от ____________________________ №СККО_________________________ </w:t>
      </w:r>
    </w:p>
    <w:p>
      <w:pPr>
        <w:pStyle w:val="Normal"/>
        <w:tabs>
          <w:tab w:val="clear" w:pos="708"/>
          <w:tab w:val="left" w:pos="709" w:leader="none"/>
        </w:tabs>
        <w:spacing w:before="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г. _____________________________ </w:t>
        <w:tab/>
        <w:tab/>
        <w:tab/>
        <w:tab/>
        <w:tab/>
        <w:t>«_____»_________________ 20____г.</w:t>
      </w:r>
    </w:p>
    <w:p>
      <w:pPr>
        <w:pStyle w:val="Normal"/>
        <w:tabs>
          <w:tab w:val="clear" w:pos="708"/>
          <w:tab w:val="left" w:pos="709" w:leader="none"/>
        </w:tabs>
        <w:spacing w:before="0" w:after="120"/>
        <w:ind w:firstLine="284"/>
        <w:jc w:val="both"/>
        <w:rPr>
          <w:b/>
          <w:b/>
          <w:sz w:val="22"/>
          <w:szCs w:val="22"/>
        </w:rPr>
      </w:pPr>
      <w:r>
        <w:rPr>
          <w:sz w:val="22"/>
          <w:szCs w:val="22"/>
        </w:rPr>
        <w:t xml:space="preserve">Республиканское унитарное предприятие «Информационно-издательский центр по налогам и сборам», именуемое в дальнейшем «Предприятие», в лице __________________________________________________________________________________________________________________________________________________________________________, действующего на основании доверенности №______________ от _________________________, с одной стороны, и </w:t>
      </w:r>
      <w:r>
        <w:rPr>
          <w:sz w:val="22"/>
          <w:szCs w:val="22"/>
          <w:highlight w:val="yellow"/>
          <w:lang w:val="en-US"/>
        </w:rPr>
        <w:t>CONTRACT</w:t>
      </w:r>
      <w:r>
        <w:rPr>
          <w:sz w:val="22"/>
          <w:szCs w:val="22"/>
          <w:highlight w:val="yellow"/>
        </w:rPr>
        <w:t>_</w:t>
      </w:r>
      <w:r>
        <w:rPr>
          <w:sz w:val="22"/>
          <w:szCs w:val="22"/>
          <w:highlight w:val="yellow"/>
          <w:lang w:val="en-US"/>
        </w:rPr>
        <w:t>HEADER</w:t>
      </w:r>
      <w:r>
        <w:rPr>
          <w:sz w:val="22"/>
          <w:szCs w:val="22"/>
        </w:rPr>
        <w:t>, с другой стороны, вместе именуемые «Стороны», заключили настоящее дополнительное соглашение к Договору от ____________________________ №СККО__________________________  о нижеследующем</w:t>
      </w:r>
      <w:r>
        <w:rPr>
          <w:b/>
          <w:sz w:val="22"/>
          <w:szCs w:val="22"/>
        </w:rPr>
        <w:t>: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567" w:leader="none"/>
        </w:tabs>
        <w:spacing w:before="0" w:after="120"/>
        <w:ind w:left="0" w:firstLine="36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Стороны пришли к соглашению изложить разделы 1-9 Договора от ____________________________ №СККО__________________________  в следующей редакции: </w:t>
      </w:r>
    </w:p>
    <w:p>
      <w:pPr>
        <w:pStyle w:val="Normal"/>
        <w:tabs>
          <w:tab w:val="clear" w:pos="708"/>
          <w:tab w:val="left" w:pos="567" w:leader="none"/>
        </w:tabs>
        <w:spacing w:before="0" w:after="120"/>
        <w:ind w:left="360" w:hanging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«1. ОПРЕДЕЛЕНИЯ И СОКРАЩЕНИЯ, ПРИНЯТЫЕ В ДОГОВОРЕ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0" w:leader="none"/>
          <w:tab w:val="left" w:pos="851" w:leader="none"/>
        </w:tabs>
        <w:ind w:left="0" w:firstLine="284"/>
        <w:jc w:val="both"/>
        <w:rPr>
          <w:sz w:val="22"/>
          <w:szCs w:val="22"/>
          <w:lang w:val="be-BY"/>
        </w:rPr>
      </w:pPr>
      <w:r>
        <w:rPr>
          <w:sz w:val="22"/>
          <w:szCs w:val="22"/>
        </w:rPr>
        <w:t>КО – кассовое оборудование (</w:t>
      </w:r>
      <w:r>
        <w:rPr>
          <w:sz w:val="22"/>
          <w:szCs w:val="22"/>
          <w:lang w:val="be-BY"/>
        </w:rPr>
        <w:t>кассовые суммирующие аппараты, в том числе совмещенные с таксометрами, билетопечатающие машины).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0" w:leader="none"/>
          <w:tab w:val="left" w:pos="851" w:leader="none"/>
        </w:tabs>
        <w:ind w:left="0" w:firstLine="284"/>
        <w:jc w:val="both"/>
        <w:rPr>
          <w:sz w:val="22"/>
          <w:szCs w:val="22"/>
          <w:lang w:val="be-BY"/>
        </w:rPr>
      </w:pPr>
      <w:r>
        <w:rPr>
          <w:sz w:val="22"/>
          <w:szCs w:val="22"/>
          <w:lang w:val="be-BY"/>
        </w:rPr>
        <w:t xml:space="preserve">ПК </w:t>
      </w:r>
      <w:r>
        <w:rPr>
          <w:sz w:val="22"/>
          <w:szCs w:val="22"/>
        </w:rPr>
        <w:t xml:space="preserve">– </w:t>
      </w:r>
      <w:r>
        <w:rPr>
          <w:sz w:val="22"/>
          <w:szCs w:val="22"/>
          <w:lang w:val="be-BY"/>
        </w:rPr>
        <w:t xml:space="preserve"> программная касса.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0" w:leader="none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СККО – система контроля кассового оборудования.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0" w:leader="none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ПКС – программная кассовая система.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0" w:leader="none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СКНО – средство контроля налоговых органов.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0" w:leader="none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СКО – средство контроля оператора.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540" w:leader="none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ЭЦП – электронная цифровая подпись.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540" w:leader="none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ЦОД – центр обработки данных.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540" w:leader="none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ТСОК – технологический сертификат открытого ключа.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540" w:leader="none"/>
          <w:tab w:val="left" w:pos="851" w:leader="none"/>
        </w:tabs>
        <w:ind w:left="0" w:firstLine="284"/>
        <w:jc w:val="both"/>
        <w:rPr>
          <w:b/>
          <w:b/>
          <w:sz w:val="22"/>
          <w:szCs w:val="22"/>
        </w:rPr>
      </w:pPr>
      <w:r>
        <w:rPr>
          <w:sz w:val="22"/>
          <w:szCs w:val="22"/>
        </w:rPr>
        <w:t xml:space="preserve">ЦТО – центр технического обслуживания и ремонта </w:t>
      </w:r>
      <w:r>
        <w:rPr>
          <w:rFonts w:eastAsia="Calibri"/>
          <w:sz w:val="22"/>
          <w:szCs w:val="22"/>
        </w:rPr>
        <w:t>кассового оборудования: юридическое лицо или индивидуальный предприниматель, заключившие договор с производителем (поставщиком) кассовых суммирующих аппаратов, в том числе совмещенных с таксометрами, билетопечатающих машин на оказание услуг по техническому обслуживанию и ремонту этого оборудования.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0" w:leader="none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Залоговая стоимость – определенная Предприятием стоимость СКНО, вносимая Пользователем на счет Предприятия в качестве обеспечения исполнения Пользователем обязательств по его надлежащей эксплуатации и возврату, и подлежащая возврату Пользователю при исполнении обязанности по возврату </w:t>
      </w:r>
      <w:r>
        <w:rPr>
          <w:color w:val="000000"/>
          <w:sz w:val="22"/>
          <w:szCs w:val="22"/>
        </w:rPr>
        <w:t>СКНО</w:t>
      </w:r>
      <w:r>
        <w:rPr>
          <w:sz w:val="22"/>
          <w:szCs w:val="22"/>
        </w:rPr>
        <w:t xml:space="preserve"> в исправном состоянии, а также при отсутствии задолженности по договору.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540" w:leader="none"/>
          <w:tab w:val="left" w:pos="851" w:leader="none"/>
        </w:tabs>
        <w:ind w:left="0" w:firstLine="284"/>
        <w:jc w:val="both"/>
        <w:rPr>
          <w:b/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Оператор ПКС – юридическое лицо, которое соответствует требованиям, определенным Министерством по налогам и сборам Республики Беларусь, заключившее договор с Предприятием о предоставлении информации в СККО и предоставившее программную кассу Пользователю.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540" w:leader="none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Информационное обслуживание – комплекс мероприятий по обслуживанию Пользователя в СККО, включающий сбор, обработку, хранение и предоставление информации Пользователю и контролирующим органам из СККО (о кассовых документах, событиях и др.), полученной посредством использования СКНО либо от оператора ПКС, а также предоставление доступа к сведениям о Пользователе и используемом КО и/или ПК.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spacing w:before="120" w:after="120"/>
        <w:ind w:left="0" w:firstLine="284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  <w:tab w:val="left" w:pos="170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В рамках </w:t>
      </w:r>
      <w:r>
        <w:rPr>
          <w:color w:val="000000"/>
          <w:sz w:val="22"/>
          <w:szCs w:val="22"/>
        </w:rPr>
        <w:t xml:space="preserve">договора Предприятие оказывает Пользователю следующие услуги: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  <w:tab w:val="left" w:pos="170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отношении КО – услуги по регистрации и подключению КО в СККО и по информационному обслуживанию Пользователя СККО;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  <w:tab w:val="left" w:pos="170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отношении ПК – услуги по регистрации ПК в СККО и по информационному обслуживанию Пользователя СККО.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  <w:tab w:val="left" w:pos="170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При регистрации КО и ПК в СККО вносятся сведения, предусмотренные законодательством и договором, указанные в заявке на подключение к СККО, составленной по форме, утвержденной Предприятием.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  <w:tab w:val="left" w:pos="170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 срок подключения КО в СККО Пользователю предоставляется СКНО, которое устанавливается, обслуживается и снимается с КО Предприятием. СКНО является собственностью Предприятия и подлежит возврату Предприятию в день его отключения от СККО.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  <w:tab w:val="left" w:pos="1701" w:leader="none"/>
        </w:tabs>
        <w:ind w:left="0" w:firstLine="284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Датой регистрации и подключения каждой единицы КО в СККО является дата установки СКНО на КО и подключения к СККО, зафиксированная в автоматизированной</w:t>
      </w:r>
      <w:r>
        <w:rPr>
          <w:sz w:val="22"/>
          <w:szCs w:val="22"/>
        </w:rPr>
        <w:t xml:space="preserve"> информационной системе контроля кассового оборудования и на портале </w:t>
      </w:r>
      <w:hyperlink r:id="rId2">
        <w:r>
          <w:rPr>
            <w:b/>
            <w:color w:val="0000FF"/>
            <w:sz w:val="22"/>
            <w:szCs w:val="22"/>
            <w:u w:val="single"/>
          </w:rPr>
          <w:t>www.</w:t>
        </w:r>
        <w:r>
          <w:rPr>
            <w:b/>
            <w:color w:val="0000FF"/>
            <w:sz w:val="22"/>
            <w:szCs w:val="22"/>
            <w:u w:val="single"/>
            <w:lang w:val="en-US"/>
          </w:rPr>
          <w:t>skko</w:t>
        </w:r>
        <w:r>
          <w:rPr>
            <w:b/>
            <w:color w:val="0000FF"/>
            <w:sz w:val="22"/>
            <w:szCs w:val="22"/>
            <w:u w:val="single"/>
          </w:rPr>
          <w:t>.</w:t>
        </w:r>
        <w:r>
          <w:rPr>
            <w:b/>
            <w:color w:val="0000FF"/>
            <w:sz w:val="22"/>
            <w:szCs w:val="22"/>
            <w:u w:val="single"/>
            <w:lang w:val="en-US"/>
          </w:rPr>
          <w:t>by</w:t>
        </w:r>
      </w:hyperlink>
      <w:r>
        <w:rPr>
          <w:b/>
          <w:sz w:val="22"/>
          <w:szCs w:val="22"/>
        </w:rPr>
        <w:t>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  <w:tab w:val="left" w:pos="170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Датой регистрации каждой единицы ПК в СККО является дата выпуска ТСОК при снаряжении СКО. Срок действия ТСОК, выпускаемого Предприятием, составляет 5 лет</w:t>
      </w:r>
      <w:r>
        <w:rPr>
          <w:color w:val="000000"/>
          <w:sz w:val="22"/>
          <w:szCs w:val="22"/>
        </w:rPr>
        <w:t>. После истечении срока действия ТСОК осуществляется новая регистрация ПК в СККО в соответствии с условиями договора.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  <w:tab w:val="left" w:pos="1701" w:leader="none"/>
        </w:tabs>
        <w:ind w:left="0" w:firstLine="284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Информационное обслуживание Пользователя в СККО в отношении каждой единицы КО и/или ПК осуществляется ежемесячно (раздельно в отношении КО и в отношении ПК).</w:t>
      </w:r>
      <w:r>
        <w:rPr>
          <w:sz w:val="22"/>
          <w:szCs w:val="22"/>
        </w:rPr>
        <w:t xml:space="preserve"> Отчетным периодом оказания услуг по информационному обслуживанию является один календарный месяц. 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В рамках информационного обслуживания посредством использования сети Интернет и ЭЦП Пользователю предоставляется удаленный доступ к сведениям о работе КО и/или ПК, в том числе в виде отчетов и сервисов, которые могут формироваться Пользователем самостоятельно в электронном виде в личном кабинете Пользователя на сайте</w:t>
      </w:r>
      <w:r>
        <w:rPr>
          <w:b/>
          <w:sz w:val="22"/>
          <w:szCs w:val="22"/>
        </w:rPr>
        <w:t xml:space="preserve"> www.</w:t>
      </w:r>
      <w:r>
        <w:rPr>
          <w:b/>
          <w:sz w:val="22"/>
          <w:szCs w:val="22"/>
          <w:lang w:val="en-US"/>
        </w:rPr>
        <w:t>skko</w:t>
      </w:r>
      <w:r>
        <w:rPr>
          <w:b/>
          <w:sz w:val="22"/>
          <w:szCs w:val="22"/>
        </w:rPr>
        <w:t>.</w:t>
      </w:r>
      <w:r>
        <w:rPr>
          <w:b/>
          <w:sz w:val="22"/>
          <w:szCs w:val="22"/>
          <w:lang w:val="en-US"/>
        </w:rPr>
        <w:t>by</w:t>
      </w:r>
      <w:r>
        <w:rPr>
          <w:sz w:val="22"/>
          <w:szCs w:val="22"/>
        </w:rPr>
        <w:t xml:space="preserve">. Дополнительно по требованию Пользователя отчеты могут быть направлены на бумажном носителе.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spacing w:before="120" w:after="120"/>
        <w:ind w:left="0" w:firstLine="284"/>
        <w:jc w:val="center"/>
        <w:rPr>
          <w:sz w:val="22"/>
          <w:szCs w:val="22"/>
          <w:u w:val="single"/>
        </w:rPr>
      </w:pPr>
      <w:r>
        <w:rPr>
          <w:b/>
          <w:sz w:val="22"/>
          <w:szCs w:val="22"/>
        </w:rPr>
        <w:t>ПРАВА И ОБЯЗАННОСТИ СТОРОН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Предприятие обязуется: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оказывать Пользователю услуги в соответствии с условиями договора;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обеспечивать сбор, обработку, предоставление доступа и передачу информации, полученной от КО посредством использования установленного СКНО, а в отношении ПК – от оператора ПКС, а также осуществлять хранение информации, поступившей в ЦОД СККО, в порядке и сроки, установленные </w:t>
      </w:r>
      <w:r>
        <w:rPr>
          <w:color w:val="000000"/>
          <w:sz w:val="22"/>
          <w:szCs w:val="22"/>
        </w:rPr>
        <w:t>законодательством</w:t>
      </w:r>
      <w:r>
        <w:rPr>
          <w:sz w:val="22"/>
          <w:szCs w:val="22"/>
        </w:rPr>
        <w:t xml:space="preserve">;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обеспечивать круглосуточное, надежное и бесперебойное функционирование ЦОД СККО;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обеспечивать восстановление в максимально короткие сроки функционирование ЦОД СККО в случае возникновения сбоев в работе;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осуществлять поддержку работоспособности и обслуживание СККО и СКНО;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устранять повреждения и неисправности, связанные с неработоспособностью СКНО и препятствующие предоставлению услуг, в срок, не превышающий 3 (трех) дней с момента поступления соответствующего оповещения о неисправности;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консультировать Пользователей о порядке функционирования ЦОД СККО, использовании СКНО; 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уведомлять Пользователя ПК посредством размещения информации на сайте</w:t>
      </w:r>
      <w:r>
        <w:rPr>
          <w:color w:val="000000"/>
        </w:rPr>
        <w:t xml:space="preserve"> </w:t>
      </w:r>
      <w:r>
        <w:rPr>
          <w:b/>
          <w:color w:val="000000"/>
          <w:sz w:val="22"/>
          <w:szCs w:val="22"/>
        </w:rPr>
        <w:t>www.skko.by</w:t>
      </w:r>
      <w:r>
        <w:rPr>
          <w:color w:val="000000"/>
          <w:sz w:val="22"/>
          <w:szCs w:val="22"/>
        </w:rPr>
        <w:t xml:space="preserve"> о внесении в ЦОД СККО информации о прекращении использования ПК в случаях, предусмотренных законодательством.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u w:val="single"/>
        </w:rPr>
        <w:t>Предприятие вправе: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требовать полного и своевременного исполнения Пользователем обязательств по договору;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привлекать третьих лиц для установки, обслуживания и снятия СКНО;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отозвать ТСОК, которым снаряжен ПК Пользователя, в случае отсутствия предварительной оплаты за услуги по информационному обслуживанию на 1 (первое) число месяца, следующего за неоплаченным периодом. При отзыве ТСОК работа ПК автоматически блокируется;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использовать данные, предоставленные Пользователем (наименование, адрес места нахождения, адрес электронной почты, номера телефонов, иные данные) в целях рассылки информации, связанной с исполнением договора и деятельностью Предприятия;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расторгнуть в одностороннем порядке договор в случаях, предусмотренных законодательством и договором.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Пользователь обязуется: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надлежащим образом исполнять условия договора, включая обязанности по оплате;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целях согласования и оптимизации сроков подключения КО и/или ПК к СККО и составления Предприятием Сводного графика подключения к СККО, при заключении договора предоставить сведения о КО и ПК с указанием адресов торговых объектов, количества и моделей КО и/или ПК, а также иной информации в соответствии с Приложением 1 к договору.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в срок не менее чем за 10 (десять) календарных дней до даты регистрации и/или подключения КО или ПК </w:t>
      </w:r>
      <w:r>
        <w:rPr>
          <w:color w:val="000000"/>
          <w:sz w:val="22"/>
          <w:szCs w:val="22"/>
        </w:rPr>
        <w:t xml:space="preserve">в СККО, указанной в Сводном графике подключения, сформированном Предприятием, предоставить Предприятию следующие документы и сведения: </w:t>
      </w:r>
    </w:p>
    <w:p>
      <w:pPr>
        <w:pStyle w:val="Normal"/>
        <w:numPr>
          <w:ilvl w:val="3"/>
          <w:numId w:val="3"/>
        </w:numPr>
        <w:tabs>
          <w:tab w:val="clear" w:pos="708"/>
          <w:tab w:val="left" w:pos="851" w:leader="none"/>
          <w:tab w:val="left" w:pos="993" w:leader="none"/>
        </w:tabs>
        <w:ind w:left="0" w:firstLine="284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 xml:space="preserve">для регистрации и подключения каждой единицы КО в СККО: </w:t>
      </w:r>
    </w:p>
    <w:p>
      <w:pPr>
        <w:pStyle w:val="Normal"/>
        <w:tabs>
          <w:tab w:val="clear" w:pos="708"/>
          <w:tab w:val="left" w:pos="851" w:leader="none"/>
          <w:tab w:val="left" w:pos="1080" w:leader="none"/>
        </w:tabs>
        <w:ind w:left="851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заявку на подключение (в 2-х экземплярах); </w:t>
      </w:r>
    </w:p>
    <w:p>
      <w:pPr>
        <w:pStyle w:val="Normal"/>
        <w:tabs>
          <w:tab w:val="clear" w:pos="708"/>
          <w:tab w:val="left" w:pos="851" w:leader="none"/>
          <w:tab w:val="left" w:pos="1080" w:leader="none"/>
        </w:tabs>
        <w:ind w:left="851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копию свидетельства о государственной регистрации;</w:t>
      </w:r>
      <w:bookmarkStart w:id="0" w:name="_Hlk32491495"/>
      <w:bookmarkEnd w:id="0"/>
    </w:p>
    <w:p>
      <w:pPr>
        <w:pStyle w:val="Normal"/>
        <w:tabs>
          <w:tab w:val="clear" w:pos="708"/>
          <w:tab w:val="left" w:pos="851" w:leader="none"/>
          <w:tab w:val="left" w:pos="1080" w:leader="none"/>
        </w:tabs>
        <w:ind w:left="851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копию платежного документа о внесении залоговой стоимости; </w:t>
      </w:r>
    </w:p>
    <w:p>
      <w:pPr>
        <w:pStyle w:val="Normal"/>
        <w:tabs>
          <w:tab w:val="clear" w:pos="708"/>
          <w:tab w:val="left" w:pos="851" w:leader="none"/>
          <w:tab w:val="left" w:pos="1080" w:leader="none"/>
        </w:tabs>
        <w:ind w:left="851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копию(и) договора с ЦТО на обслуживание;</w:t>
      </w:r>
    </w:p>
    <w:p>
      <w:pPr>
        <w:pStyle w:val="Normal"/>
        <w:numPr>
          <w:ilvl w:val="3"/>
          <w:numId w:val="3"/>
        </w:numPr>
        <w:tabs>
          <w:tab w:val="clear" w:pos="708"/>
          <w:tab w:val="left" w:pos="851" w:leader="none"/>
          <w:tab w:val="left" w:pos="993" w:leader="none"/>
        </w:tabs>
        <w:ind w:left="0" w:firstLine="284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 xml:space="preserve">для регистрации каждой единицы ПК в СККО: </w:t>
      </w:r>
    </w:p>
    <w:p>
      <w:pPr>
        <w:pStyle w:val="Normal"/>
        <w:tabs>
          <w:tab w:val="clear" w:pos="708"/>
          <w:tab w:val="left" w:pos="851" w:leader="none"/>
          <w:tab w:val="left" w:pos="1080" w:leader="none"/>
        </w:tabs>
        <w:ind w:left="851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заявку на подключение (в 2-х экземплярах); </w:t>
      </w:r>
    </w:p>
    <w:p>
      <w:pPr>
        <w:pStyle w:val="Normal"/>
        <w:tabs>
          <w:tab w:val="clear" w:pos="708"/>
          <w:tab w:val="left" w:pos="851" w:leader="none"/>
          <w:tab w:val="left" w:pos="1080" w:leader="none"/>
        </w:tabs>
        <w:ind w:left="851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копию свидетельства о государственной регистрации;</w:t>
      </w:r>
    </w:p>
    <w:p>
      <w:pPr>
        <w:pStyle w:val="Normal"/>
        <w:tabs>
          <w:tab w:val="clear" w:pos="708"/>
          <w:tab w:val="left" w:pos="851" w:leader="none"/>
          <w:tab w:val="left" w:pos="1080" w:leader="none"/>
        </w:tabs>
        <w:ind w:left="851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СКО; </w:t>
      </w:r>
    </w:p>
    <w:p>
      <w:pPr>
        <w:pStyle w:val="Normal"/>
        <w:tabs>
          <w:tab w:val="clear" w:pos="708"/>
          <w:tab w:val="left" w:pos="851" w:leader="none"/>
          <w:tab w:val="left" w:pos="1080" w:leader="none"/>
        </w:tabs>
        <w:ind w:left="851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копию платежного документа о внесении предварительной оплаты за услугу регистрации ПК; </w:t>
      </w:r>
    </w:p>
    <w:p>
      <w:pPr>
        <w:pStyle w:val="Normal"/>
        <w:tabs>
          <w:tab w:val="clear" w:pos="708"/>
          <w:tab w:val="left" w:pos="993" w:leader="none"/>
          <w:tab w:val="left" w:pos="1080" w:leader="none"/>
        </w:tabs>
        <w:ind w:left="142" w:firstLine="709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- копию платежного</w:t>
      </w:r>
      <w:r>
        <w:rPr>
          <w:sz w:val="22"/>
          <w:szCs w:val="22"/>
        </w:rPr>
        <w:t xml:space="preserve"> документа о внесении предварительной оплаты за выбранный период информационного обслуживания; </w:t>
      </w:r>
    </w:p>
    <w:p>
      <w:pPr>
        <w:pStyle w:val="Normal"/>
        <w:tabs>
          <w:tab w:val="clear" w:pos="708"/>
          <w:tab w:val="left" w:pos="1080" w:leader="none"/>
        </w:tabs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 копию договора с оператором ПКС (или информацию о заключении договора с оператором ПКС); </w:t>
      </w:r>
    </w:p>
    <w:p>
      <w:pPr>
        <w:pStyle w:val="Normal"/>
        <w:tabs>
          <w:tab w:val="clear" w:pos="708"/>
          <w:tab w:val="left" w:pos="1134" w:leader="none"/>
        </w:tabs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- заполненный акт приема-передачи СКО (в 2-х экземплярах), по форме утвержденной Предприятием;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color w:val="000000"/>
          <w:sz w:val="22"/>
          <w:szCs w:val="22"/>
        </w:rPr>
        <w:t>письменно</w:t>
      </w:r>
      <w:r>
        <w:rPr>
          <w:rFonts w:eastAsia="Calibri"/>
          <w:sz w:val="22"/>
          <w:szCs w:val="22"/>
        </w:rPr>
        <w:t xml:space="preserve"> уведомить Предприятие о смене места установки КО и/или ПК не позднее дня перемещения КО и/или ПК с одного объекта на другой;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rFonts w:eastAsia="Calibri"/>
          <w:sz w:val="22"/>
          <w:szCs w:val="22"/>
          <w:u w:val="single"/>
        </w:rPr>
      </w:pPr>
      <w:r>
        <w:rPr>
          <w:sz w:val="22"/>
          <w:szCs w:val="22"/>
          <w:u w:val="single"/>
        </w:rPr>
        <w:t>при принятии решения о завершении эксплуатации КО и/или ПК:</w:t>
      </w:r>
    </w:p>
    <w:p>
      <w:pPr>
        <w:pStyle w:val="Normal"/>
        <w:numPr>
          <w:ilvl w:val="3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rFonts w:eastAsia="Calibri"/>
          <w:sz w:val="22"/>
          <w:szCs w:val="22"/>
        </w:rPr>
      </w:pPr>
      <w:r>
        <w:rPr>
          <w:sz w:val="22"/>
          <w:szCs w:val="22"/>
        </w:rPr>
        <w:t xml:space="preserve">в отношении КО - направить в адрес Предприятия заявку об отключении КО от СККО; </w:t>
      </w:r>
    </w:p>
    <w:p>
      <w:pPr>
        <w:pStyle w:val="Normal"/>
        <w:numPr>
          <w:ilvl w:val="3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rFonts w:eastAsia="Calibri"/>
          <w:sz w:val="22"/>
          <w:szCs w:val="22"/>
        </w:rPr>
      </w:pPr>
      <w:r>
        <w:rPr>
          <w:sz w:val="22"/>
          <w:szCs w:val="22"/>
        </w:rPr>
        <w:t>в отношении ПК - направить в адрес Предприятия заявление о прекращении использования ПК;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информационное обслуживание в СККО, в том числе предоставление доступа к СККО, прекращается в следующие сроки: </w:t>
      </w:r>
    </w:p>
    <w:p>
      <w:pPr>
        <w:pStyle w:val="Normal"/>
        <w:numPr>
          <w:ilvl w:val="3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отношении КО – со </w:t>
      </w:r>
      <w:bookmarkStart w:id="1" w:name="_Hlk32508253"/>
      <w:r>
        <w:rPr>
          <w:color w:val="000000"/>
          <w:sz w:val="22"/>
          <w:szCs w:val="22"/>
        </w:rPr>
        <w:t xml:space="preserve">дня, следующего за днем </w:t>
      </w:r>
      <w:bookmarkEnd w:id="1"/>
      <w:r>
        <w:rPr>
          <w:color w:val="000000"/>
          <w:sz w:val="22"/>
          <w:szCs w:val="22"/>
        </w:rPr>
        <w:t xml:space="preserve">снятия СКНО и возврата СКНО Предприятию (в случае отсутствия СКНО – со дня, следующего за днем составления акта об отключении КО от СККО); </w:t>
      </w:r>
    </w:p>
    <w:p>
      <w:pPr>
        <w:pStyle w:val="Normal"/>
        <w:numPr>
          <w:ilvl w:val="3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отношении ПК – со дня, следующего за днем отключения ПК от СККО (со дня, следующего за днем отзыва ТСОК);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rFonts w:eastAsia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при использовании КО: </w:t>
      </w:r>
    </w:p>
    <w:p>
      <w:pPr>
        <w:pStyle w:val="Normal"/>
        <w:numPr>
          <w:ilvl w:val="3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обеспечивать сохранность предоставленного СКНО </w:t>
      </w:r>
      <w:r>
        <w:rPr>
          <w:rFonts w:eastAsia="Calibri"/>
          <w:color w:val="000000"/>
          <w:sz w:val="22"/>
          <w:szCs w:val="22"/>
        </w:rPr>
        <w:t>и незамедлительно</w:t>
      </w:r>
      <w:r>
        <w:rPr>
          <w:rFonts w:eastAsia="Calibri"/>
          <w:sz w:val="22"/>
          <w:szCs w:val="22"/>
        </w:rPr>
        <w:t xml:space="preserve"> уведомлять Предприятие в случае обнаружения его повреждения, в том числе голографических средств контроля СКНО;</w:t>
      </w:r>
    </w:p>
    <w:p>
      <w:pPr>
        <w:pStyle w:val="Normal"/>
        <w:numPr>
          <w:ilvl w:val="3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не снимать и не перемещать СКНО самостоятельно с одного КО на другое;</w:t>
      </w:r>
    </w:p>
    <w:p>
      <w:pPr>
        <w:pStyle w:val="Normal"/>
        <w:numPr>
          <w:ilvl w:val="3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обеспечивать беспрепятственный доступ представителям Предприятия к КО для исполнения обязанностей по установке, обслуживанию и снятию СКНО;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возмещать по требованию Предприятия стоимость ремонтных работ и (или) комплектующих СКНО (корпуса, кабеля интерфейсного, антенн и др.), использованных при проведении Предприятием ремонтных работ СКНО, связанных с выходом из строя СКНО по причинам, не зависящим от Предприятия. Предприятие вправе вычесть из залоговой стоимости при снятии СКНО стоимость ремонтных работ и (или) комплектующих СКНО.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Пользователь вправе: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b/>
          <w:b/>
          <w:sz w:val="22"/>
          <w:szCs w:val="22"/>
        </w:rPr>
      </w:pPr>
      <w:r>
        <w:rPr>
          <w:sz w:val="22"/>
          <w:szCs w:val="22"/>
        </w:rPr>
        <w:t>требовать своевременного и надлежащего оказания услуг в соответствии с условиями договора;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b/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при регистрации и подключении КО в СККО выбирать в соответствии с Прейскурантом тариф за информационное обслуживание (месячный, суточный). В дальнейшем изменять выбранный тариф путем направления письменного уведомления Предприятию не позднее 25 (двадцать пятого) числа месяца, предшествующего новому периоду информационного обслуживания. </w:t>
      </w:r>
    </w:p>
    <w:p>
      <w:pPr>
        <w:pStyle w:val="Normal"/>
        <w:tabs>
          <w:tab w:val="clear" w:pos="708"/>
          <w:tab w:val="left" w:pos="1004" w:leader="none"/>
        </w:tabs>
        <w:ind w:left="284" w:hanging="0"/>
        <w:jc w:val="both"/>
        <w:rPr>
          <w:b/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При информационном обслуживании ПК действует единый тариф за календарный месяц.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b/>
          <w:b/>
          <w:sz w:val="22"/>
          <w:szCs w:val="22"/>
        </w:rPr>
      </w:pPr>
      <w:r>
        <w:rPr>
          <w:color w:val="000000"/>
          <w:sz w:val="22"/>
          <w:szCs w:val="22"/>
        </w:rPr>
        <w:t>Не использование или несвоевременное использование</w:t>
      </w:r>
      <w:r>
        <w:rPr>
          <w:sz w:val="22"/>
          <w:szCs w:val="22"/>
        </w:rPr>
        <w:t xml:space="preserve"> стороной какого-либо права по договору не считается отказом от этого права. </w:t>
      </w:r>
    </w:p>
    <w:p>
      <w:pPr>
        <w:pStyle w:val="Normal"/>
        <w:numPr>
          <w:ilvl w:val="0"/>
          <w:numId w:val="3"/>
        </w:numPr>
        <w:spacing w:before="120" w:after="120"/>
        <w:ind w:left="0" w:firstLine="284"/>
        <w:jc w:val="center"/>
        <w:rPr>
          <w:sz w:val="22"/>
          <w:szCs w:val="22"/>
        </w:rPr>
      </w:pPr>
      <w:r>
        <w:rPr>
          <w:b/>
          <w:sz w:val="22"/>
          <w:szCs w:val="22"/>
        </w:rPr>
        <w:t>УСЛОВИЯ И ПОРЯДОК ОКАЗАНИЯ УСЛУГ В ОТНОШЕНИИ КО</w:t>
      </w:r>
    </w:p>
    <w:p>
      <w:pPr>
        <w:pStyle w:val="Normal"/>
        <w:numPr>
          <w:ilvl w:val="1"/>
          <w:numId w:val="3"/>
        </w:numPr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Регистрация и подключение КО к СККО осуществляются при наличии у Пользователя КО, соответствующего требованиям законодательных и технических нормативных правовых актов. </w:t>
      </w:r>
    </w:p>
    <w:p>
      <w:pPr>
        <w:pStyle w:val="Normal"/>
        <w:numPr>
          <w:ilvl w:val="1"/>
          <w:numId w:val="3"/>
        </w:numPr>
        <w:ind w:left="0" w:firstLine="284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Регистрация КО в СККО (внесение в СККО сведений о каждой единице КО Пользователя) и подключение КО к СККО посредством установки СКНО в КО осуществляются </w:t>
      </w:r>
      <w:r>
        <w:rPr>
          <w:color w:val="000000"/>
          <w:sz w:val="22"/>
          <w:szCs w:val="22"/>
        </w:rPr>
        <w:t xml:space="preserve">в порядке очередности в течение 10 (десяти) рабочих дней со дня представления документов и сведений, указанных в п.п.3.3.2 и п.п.3.3.3.1 п.п.3.3 договора, если более длительный срок не предусмотрен заявкой на подключение, Сводным графиком подключения, формируемым Предприятием. </w:t>
      </w:r>
      <w:bookmarkStart w:id="2" w:name="_Hlk33199706"/>
      <w:r>
        <w:rPr>
          <w:color w:val="000000"/>
          <w:sz w:val="22"/>
          <w:szCs w:val="22"/>
        </w:rPr>
        <w:t xml:space="preserve">При несоблюдении Пользователем срока подключения КО, указанного в заявке или Сводном Графике, срок подключения КО устанавливается Предприятием исходя из очередности с учетом загруженности Предприятия и ЦТО. </w:t>
      </w:r>
    </w:p>
    <w:p>
      <w:pPr>
        <w:pStyle w:val="Normal"/>
        <w:tabs>
          <w:tab w:val="clear" w:pos="708"/>
          <w:tab w:val="left" w:pos="426" w:leader="none"/>
        </w:tabs>
        <w:ind w:firstLine="284"/>
        <w:jc w:val="both"/>
        <w:rPr>
          <w:strike/>
          <w:sz w:val="22"/>
          <w:szCs w:val="22"/>
        </w:rPr>
      </w:pPr>
      <w:bookmarkEnd w:id="2"/>
      <w:r>
        <w:rPr>
          <w:sz w:val="22"/>
          <w:szCs w:val="22"/>
        </w:rPr>
        <w:t>Сводный график подключения формируется Предприятием в период внедрения СККО в целях оптимизации сроков оказания услуг по подключению с учетом загруженности Предприятия и ЦТО. Сводный график подключения размещается на сайте</w:t>
      </w:r>
      <w:r>
        <w:rPr>
          <w:b/>
          <w:sz w:val="22"/>
          <w:szCs w:val="22"/>
        </w:rPr>
        <w:t xml:space="preserve"> </w:t>
      </w:r>
      <w:hyperlink r:id="rId3">
        <w:r>
          <w:rPr>
            <w:b/>
            <w:color w:val="0000FF"/>
            <w:sz w:val="22"/>
            <w:szCs w:val="22"/>
            <w:u w:val="single"/>
          </w:rPr>
          <w:t>www.</w:t>
        </w:r>
        <w:r>
          <w:rPr>
            <w:b/>
            <w:color w:val="0000FF"/>
            <w:sz w:val="22"/>
            <w:szCs w:val="22"/>
            <w:u w:val="single"/>
            <w:lang w:val="en-US"/>
          </w:rPr>
          <w:t>skko</w:t>
        </w:r>
        <w:r>
          <w:rPr>
            <w:b/>
            <w:color w:val="0000FF"/>
            <w:sz w:val="22"/>
            <w:szCs w:val="22"/>
            <w:u w:val="single"/>
          </w:rPr>
          <w:t>.</w:t>
        </w:r>
        <w:r>
          <w:rPr>
            <w:b/>
            <w:color w:val="0000FF"/>
            <w:sz w:val="22"/>
            <w:szCs w:val="22"/>
            <w:u w:val="single"/>
            <w:lang w:val="en-US"/>
          </w:rPr>
          <w:t>by</w:t>
        </w:r>
      </w:hyperlink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и является обязательным к исполнению.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73"/>
        <w:jc w:val="both"/>
        <w:rPr>
          <w:strike/>
          <w:color w:val="000000"/>
          <w:sz w:val="22"/>
          <w:szCs w:val="22"/>
        </w:rPr>
      </w:pPr>
      <w:r>
        <w:rPr>
          <w:sz w:val="22"/>
          <w:szCs w:val="22"/>
        </w:rPr>
        <w:t xml:space="preserve">Датой оказания услуги по регистрации и подключению КО к СККО является дата установки СКНО на КО и подключения </w:t>
      </w:r>
      <w:r>
        <w:rPr>
          <w:color w:val="000000"/>
          <w:sz w:val="22"/>
          <w:szCs w:val="22"/>
        </w:rPr>
        <w:t xml:space="preserve">КО в СККО, зафиксированная в автоматизированной информационной системе контроля кассового оборудования и на портале </w:t>
      </w:r>
      <w:hyperlink r:id="rId4">
        <w:r>
          <w:rPr>
            <w:b/>
            <w:color w:val="000000"/>
            <w:sz w:val="22"/>
            <w:szCs w:val="22"/>
            <w:u w:val="single"/>
          </w:rPr>
          <w:t>www.</w:t>
        </w:r>
        <w:r>
          <w:rPr>
            <w:b/>
            <w:color w:val="000000"/>
            <w:sz w:val="22"/>
            <w:szCs w:val="22"/>
            <w:u w:val="single"/>
            <w:lang w:val="en-US"/>
          </w:rPr>
          <w:t>skko</w:t>
        </w:r>
        <w:r>
          <w:rPr>
            <w:b/>
            <w:color w:val="000000"/>
            <w:sz w:val="22"/>
            <w:szCs w:val="22"/>
            <w:u w:val="single"/>
          </w:rPr>
          <w:t>.</w:t>
        </w:r>
        <w:r>
          <w:rPr>
            <w:b/>
            <w:color w:val="000000"/>
            <w:sz w:val="22"/>
            <w:szCs w:val="22"/>
            <w:u w:val="single"/>
            <w:lang w:val="en-US"/>
          </w:rPr>
          <w:t>by</w:t>
        </w:r>
      </w:hyperlink>
      <w:r>
        <w:rPr>
          <w:color w:val="000000"/>
          <w:sz w:val="22"/>
          <w:szCs w:val="22"/>
        </w:rPr>
        <w:t xml:space="preserve">. По результатам оказания услуги по регистрации и подключения КО в СККО оформляется Акт сдачи-приемки оказанных услуг, два экземпляра которого передаются для подписания представителю </w:t>
      </w:r>
      <w:r>
        <w:rPr>
          <w:color w:val="000000"/>
          <w:sz w:val="22"/>
          <w:szCs w:val="22"/>
          <w:lang w:eastAsia="ru-RU"/>
        </w:rPr>
        <w:t>Пользователя,</w:t>
      </w:r>
      <w:r>
        <w:rPr>
          <w:color w:val="000000"/>
          <w:sz w:val="22"/>
          <w:szCs w:val="22"/>
        </w:rPr>
        <w:t xml:space="preserve"> в присутствии которого осуществлялась установка СКНО.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73"/>
        <w:jc w:val="both"/>
        <w:rPr>
          <w:strike/>
          <w:sz w:val="22"/>
          <w:szCs w:val="22"/>
        </w:rPr>
      </w:pPr>
      <w:r>
        <w:rPr>
          <w:color w:val="000000"/>
          <w:sz w:val="22"/>
          <w:szCs w:val="22"/>
        </w:rPr>
        <w:t>Подключение КО в СККО путем</w:t>
      </w:r>
      <w:r>
        <w:rPr>
          <w:sz w:val="22"/>
          <w:szCs w:val="22"/>
        </w:rPr>
        <w:t xml:space="preserve"> установки СКНО осуществляется с участием специалиста ЦТО.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73"/>
        <w:jc w:val="both"/>
        <w:rPr>
          <w:strike/>
          <w:sz w:val="22"/>
          <w:szCs w:val="22"/>
        </w:rPr>
      </w:pPr>
      <w:r>
        <w:rPr>
          <w:sz w:val="22"/>
          <w:szCs w:val="22"/>
        </w:rPr>
        <w:t xml:space="preserve">Оказание услуг по информационному обслуживанию в СККО осуществляется в отношении каждой единицы КО ежемесячно, начиная со дня, следующего за днем подключения КО к СККО. 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73"/>
        <w:jc w:val="both"/>
        <w:rPr>
          <w:strike/>
          <w:sz w:val="22"/>
          <w:szCs w:val="22"/>
        </w:rPr>
      </w:pPr>
      <w:r>
        <w:rPr>
          <w:sz w:val="22"/>
          <w:szCs w:val="22"/>
        </w:rPr>
        <w:t xml:space="preserve">Оказание услуг по информационному обслуживанию прекращается в день отключения КО от СККО и оформляется Актом об отключении КО от СККО, подписываемым обеими сторонами.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73"/>
        <w:jc w:val="both"/>
        <w:rPr>
          <w:sz w:val="22"/>
          <w:szCs w:val="22"/>
        </w:rPr>
      </w:pPr>
      <w:r>
        <w:rPr>
          <w:sz w:val="22"/>
          <w:szCs w:val="22"/>
        </w:rPr>
        <w:t>Договором не предусматривается возможность приостановки информационного обслуживания в СККО по инициативе Пользователя без осуществления процедуры отключения КО от СККО.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73"/>
        <w:jc w:val="both"/>
        <w:rPr>
          <w:sz w:val="22"/>
          <w:szCs w:val="22"/>
        </w:rPr>
      </w:pPr>
      <w:r>
        <w:rPr>
          <w:sz w:val="22"/>
          <w:szCs w:val="22"/>
        </w:rPr>
        <w:t>Оказание услуг по информационному обслуживанию оформляется Актом оказания услуг. Предприятие ежемесячно не позднее 10 числа месяца, следующего за отчетным, формирует и направляет Пользователю Акт оказания услуг, содержащий все виды начислений за предоставленные в отчетном месяце услуги.</w:t>
      </w:r>
      <w:bookmarkStart w:id="3" w:name="_Hlk32418372"/>
      <w:bookmarkEnd w:id="3"/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7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Принятие Пользователем решения о прекращении использования КО влечет за собой проведение процедуры отключения КО от СККО, снятия и возврата СКНО Предприятию. Отключение КО от СККО оформляется Актом об отключении КО от СККО. Для снятия СКНО Пользователь обязан предоставить доступ к КО. СКНО подлежит снятию с КО и возврату Предприятию в следующие сроки: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7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 инициативе Пользователя - в течение 10 (десяти) рабочих дней со дня получения заявки на отключение КО либо в иной согласованный сторонами срок;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73"/>
        <w:jc w:val="both"/>
        <w:rPr>
          <w:sz w:val="22"/>
          <w:szCs w:val="22"/>
        </w:rPr>
      </w:pPr>
      <w:r>
        <w:rPr>
          <w:sz w:val="22"/>
          <w:szCs w:val="22"/>
        </w:rPr>
        <w:t>по инициативе Предприятия - в течение 10 (десяти) рабочих дней со дня уведомления Пользователя либо в иной согласованный сторонами срок.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7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случае отключения от СККО одной или нескольких единиц КО, оказание услуг по информационному обслуживанию прекращается в отношении отключенного КО.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73"/>
        <w:jc w:val="both"/>
        <w:rPr>
          <w:sz w:val="22"/>
          <w:szCs w:val="22"/>
        </w:rPr>
      </w:pPr>
      <w:bookmarkStart w:id="4" w:name="_Hlk31873701"/>
      <w:bookmarkEnd w:id="4"/>
      <w:r>
        <w:rPr>
          <w:sz w:val="22"/>
          <w:szCs w:val="22"/>
        </w:rPr>
        <w:t>Пользователь обязан принять результаты оказанных услуг путем подписания Акта сдачи-приемки оказанных услуг, Акта оказания услуг и возвратить один экземпляр Актов в адрес Предприятия. При отсутствии письменных мотивированных возражений Пользователя до наступления срока оплаты, а также при невозврате экземпляра Актов, услуги считаются оказанными надлежащим образом и принятыми Пользователем в полном объеме. При наличии технической возможности Стороны осуществляют подписание Актов сдачи-приемки оказанных услуг, Актов оказания услуг, составленных в виде электронного документа с применением ЭЦП.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73"/>
        <w:jc w:val="both"/>
        <w:rPr>
          <w:sz w:val="22"/>
          <w:szCs w:val="22"/>
        </w:rPr>
      </w:pPr>
      <w:bookmarkStart w:id="5" w:name="_Hlk31873788"/>
      <w:bookmarkStart w:id="6" w:name="_Hlk318737011"/>
      <w:bookmarkEnd w:id="6"/>
      <w:r>
        <w:rPr>
          <w:sz w:val="22"/>
          <w:szCs w:val="22"/>
        </w:rPr>
        <w:t>Днем оказания услуг признается день составления Акта сдачи-приемки оказанных услуг, Акта оказания услуг</w:t>
      </w:r>
      <w:bookmarkEnd w:id="5"/>
      <w:r>
        <w:rPr>
          <w:sz w:val="22"/>
          <w:szCs w:val="22"/>
        </w:rPr>
        <w:t>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7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Акты оказания услуг направляются Пользователю на бумажном носителе. По согласованию с Пользователем могут быть направлены в электронном виде, в том числе через личный кабинет Пользователя на сайте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www.</w:t>
      </w:r>
      <w:r>
        <w:rPr>
          <w:sz w:val="22"/>
          <w:szCs w:val="22"/>
          <w:lang w:val="en-US"/>
        </w:rPr>
        <w:t>skko</w:t>
      </w:r>
      <w:r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by</w:t>
      </w:r>
      <w:r>
        <w:rPr>
          <w:sz w:val="22"/>
          <w:szCs w:val="22"/>
        </w:rPr>
        <w:t>.</w:t>
      </w:r>
      <w:bookmarkStart w:id="7" w:name="_Hlk31873760"/>
      <w:bookmarkStart w:id="8" w:name="_Hlk32501315"/>
      <w:bookmarkEnd w:id="7"/>
      <w:bookmarkEnd w:id="8"/>
    </w:p>
    <w:p>
      <w:pPr>
        <w:pStyle w:val="Normal"/>
        <w:numPr>
          <w:ilvl w:val="0"/>
          <w:numId w:val="3"/>
        </w:numPr>
        <w:tabs>
          <w:tab w:val="clear" w:pos="708"/>
          <w:tab w:val="left" w:pos="851" w:leader="none"/>
        </w:tabs>
        <w:spacing w:before="120" w:after="12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УСЛОВИЯ И ПОРЯДОК ОКАЗАНИЯ УСЛУГ В ОТНОШЕНИИ ПК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Регистрация ПК в СККО осуществляется при наличии у Пользователя ПК, соответствующей требованиям </w:t>
      </w:r>
      <w:r>
        <w:rPr>
          <w:color w:val="000000"/>
          <w:sz w:val="22"/>
          <w:szCs w:val="22"/>
        </w:rPr>
        <w:t>законодательства</w:t>
      </w:r>
      <w:r>
        <w:rPr>
          <w:sz w:val="22"/>
          <w:szCs w:val="22"/>
        </w:rPr>
        <w:t>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426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Регистрация ПК Пользователя в СККО путем внесения сведений в СККО о каждой единице ПК Пользователя, а также о снаряжении каждой единицы СКО Пользователя ТСОК Предприятия (выпуск ТСОК для ПК Пользователя) осуществляются в течение 10 (десяти) рабочих дней с момента предоставления документов и сведений, указанных в п.п.3.3.2  и п.п.3.3.</w:t>
      </w:r>
      <w:r>
        <w:rPr>
          <w:color w:val="000000"/>
          <w:sz w:val="22"/>
          <w:szCs w:val="22"/>
        </w:rPr>
        <w:t>3</w:t>
      </w:r>
      <w:r>
        <w:rPr>
          <w:sz w:val="22"/>
          <w:szCs w:val="22"/>
        </w:rPr>
        <w:t xml:space="preserve">.2.п.3.3 договора, если более длительный срок не предусмотрен заявкой на регистрацию ПК либо Сводным графиком подключения, формируемым Предприятием. При несоблюдении Пользователем срока подключения ПК, указанного в заявке или Сводном Графике, срок подключения ПК устанавливается Предприятием исходя из очередности с учетом загруженности Предприятия. </w:t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Сводный график подключения формируется Предприятием в период внедрения СККО в целях оптимизации сроков оказания услуг по подключению с учетом загруженности Предприятия и ЦТО. Сводный график подключения размещается на сайте www.skko.by и является обязательным к исполнению.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Услуга регистрации ПК в СККО считается оказанной с момента выпуска ТСОК для ПК Пользователя. По результатам оказания услуги регистрации ПК в СККО оформляется Акт сдачи-приемки оказанных услуг с указанием даты регистрации ПК Пользователя в СККО (даты выпуска ТСОК).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Оказание услуг по информационному обслуживанию Пользователя в СККО осуществляется ежемесячно, начиная со дня, следующего за днем регистрации ПК к СККО.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trike/>
          <w:color w:val="FF0000"/>
          <w:sz w:val="22"/>
          <w:szCs w:val="22"/>
        </w:rPr>
      </w:pPr>
      <w:r>
        <w:rPr>
          <w:sz w:val="22"/>
          <w:szCs w:val="22"/>
        </w:rPr>
        <w:t xml:space="preserve">Оказание услуг по информационному </w:t>
      </w:r>
      <w:r>
        <w:rPr>
          <w:color w:val="000000"/>
          <w:sz w:val="22"/>
          <w:szCs w:val="22"/>
        </w:rPr>
        <w:t>обслуживанию прекращается одновременно с истечением срока действия ТСОК либо в день отзыва ТСОК</w:t>
      </w:r>
      <w:r>
        <w:rPr>
          <w:sz w:val="22"/>
          <w:szCs w:val="22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Оказание услуг по информационному обслуживанию оформляется Актом оказания услуг. Предприятие ежемесячно не позднее 10 числа месяца, следующего за отчетным, формирует и направляет Пользователю Акт оказания услуг, содержащий все виды начислений за предоставленные в отчетном месяце услуги.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  <w:tab w:val="left" w:pos="1134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Прекращение использования ПК влечет за собой проведение процедуры отзыва ТСОК и внесение сведений в СККО</w:t>
      </w:r>
      <w:r>
        <w:rPr>
          <w:sz w:val="22"/>
          <w:szCs w:val="22"/>
        </w:rPr>
        <w:t xml:space="preserve"> о прекращении использования ПК (отключении ПК от СККО</w:t>
      </w:r>
      <w:r>
        <w:rPr>
          <w:color w:val="000000"/>
          <w:sz w:val="22"/>
          <w:szCs w:val="22"/>
        </w:rPr>
        <w:t xml:space="preserve">), о чем направляется сообщение на адрес электронной почты, указанный Пользователем в договоре, и (или) в личный кабинет Пользователя на сайте </w:t>
      </w:r>
      <w:hyperlink r:id="rId5">
        <w:r>
          <w:rPr>
            <w:color w:val="000000"/>
            <w:sz w:val="22"/>
            <w:szCs w:val="22"/>
            <w:u w:val="single"/>
          </w:rPr>
          <w:t>www.skko.by</w:t>
        </w:r>
      </w:hyperlink>
      <w:r>
        <w:rPr>
          <w:color w:val="000000"/>
          <w:sz w:val="22"/>
          <w:szCs w:val="22"/>
        </w:rPr>
        <w:t>. По требованию Пользователя сообщение об отключении ПК может быть направлено на бумажном носителе.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  <w:tab w:val="left" w:pos="1134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Прекращение использования ПК и отзыв ТСОК по инициативе Пользователя, в том числе в связи с утратой или неработоспособностью СКО, осуществляется в течение трех рабочих дней с момента получения Предприятием письменного заявления Пользователя. Новая регистрация ПК в СККО осуществляется в соответствии с условиями договора.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  <w:tab w:val="left" w:pos="1134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Договором не предусматривается приостановка информационного обслуживания в СККО по инициативе Пользователя без осуществления процедуры отзыва ТСОК и внесения сведений в </w:t>
      </w:r>
      <w:r>
        <w:rPr>
          <w:color w:val="000000"/>
          <w:sz w:val="22"/>
          <w:szCs w:val="22"/>
        </w:rPr>
        <w:t xml:space="preserve">СККО об отключении ПК.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случае прекращения Пользователем использования одной или нескольких единиц ПК, оказание услуг по информационному обслуживанию прекращается в отношении отключенных от СККО ПК. 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284" w:leader="none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Пользователь обязан принять результаты оказанных услуг путем подписания Акта сдачи-приемки оказанных услуг, Акта оказания услуг и возвратить один экземпляр Актов Предприятию. При отсутствии письменных мотивированных возражений Пользователя в течение 10 (десяти) календарных дней после направления Актов Пользователю, а также при невозврате Предприятию экземпляров Актов, услуги считаются оказанными надлежащим образом и принятыми Пользователем в полном объеме.</w:t>
      </w:r>
      <w:r>
        <w:rPr/>
        <w:t xml:space="preserve"> </w:t>
      </w:r>
      <w:r>
        <w:rPr>
          <w:sz w:val="22"/>
          <w:szCs w:val="22"/>
        </w:rPr>
        <w:t>При наличии технической возможности Стороны осуществляют подписание Актов сдачи-приемки оказанных услуг, Актов оказания услуг, составленных в виде электронного документа с применением ЭЦП.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Днем оказания услуг признается день составления Акта сдачи-приемки оказанных услуг, Акта оказания услуг.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Акты оказания услуг направляются Пользователю на бумажном носителе. По согласованию с Пользователем могут быть направлены в электронном виде, в том числе через личный кабинет Пользователя на сайте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www.</w:t>
      </w:r>
      <w:r>
        <w:rPr>
          <w:sz w:val="22"/>
          <w:szCs w:val="22"/>
          <w:lang w:val="en-US"/>
        </w:rPr>
        <w:t>skko</w:t>
      </w:r>
      <w:r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by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spacing w:before="120" w:after="12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ПОРЯДОК РАСЧЕТОВ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Стоимость услуг (с учетом НДС), оказываемых по договору, устанавливается в соответствии с прейскурантами, утвержденными Предприятием (публикуются на сайте www.s</w:t>
      </w:r>
      <w:r>
        <w:rPr>
          <w:sz w:val="22"/>
          <w:szCs w:val="22"/>
          <w:lang w:val="en-US"/>
        </w:rPr>
        <w:t>kko</w:t>
      </w:r>
      <w:r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by</w:t>
      </w:r>
      <w:r>
        <w:rPr>
          <w:sz w:val="22"/>
          <w:szCs w:val="22"/>
        </w:rPr>
        <w:t>). Предприятие вправе в одностороннем порядке без внесения изменений в договор изменять стоимость оказываемых по договору услуг путем утверждения новых Прейскурантов и доведения их до сведения Пользователя путем размещения на сайте www.s</w:t>
      </w:r>
      <w:r>
        <w:rPr>
          <w:sz w:val="22"/>
          <w:szCs w:val="22"/>
          <w:lang w:val="en-US"/>
        </w:rPr>
        <w:t>kko</w:t>
      </w:r>
      <w:r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by</w:t>
      </w:r>
      <w:r>
        <w:rPr>
          <w:sz w:val="22"/>
          <w:szCs w:val="22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Пользователь обязан самостоятельно отслеживать информацию об изменении Предприятием размера залоговой стоимости и стоимости услуг на сайте www.s</w:t>
      </w:r>
      <w:r>
        <w:rPr>
          <w:sz w:val="22"/>
          <w:szCs w:val="22"/>
          <w:lang w:val="en-US"/>
        </w:rPr>
        <w:t>kko</w:t>
      </w:r>
      <w:r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by</w:t>
      </w:r>
      <w:r>
        <w:rPr>
          <w:sz w:val="22"/>
          <w:szCs w:val="22"/>
        </w:rPr>
        <w:t>. Продолжение пользования услугами Предприятия после изменения стоимости, рассматривается как согласие Пользователя на дальнейшее обслуживание.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Особенности расчетов при подключении КО к СККО</w:t>
      </w:r>
      <w:r>
        <w:rPr>
          <w:sz w:val="22"/>
          <w:szCs w:val="22"/>
          <w:u w:val="single"/>
        </w:rPr>
        <w:t xml:space="preserve">: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До регистрации и подключения каждой единицы КО к СККО Пользователь единовременно вносит на расчетный счет Предприятия залоговую стоимость СКНО. До внесения залоговой стоимости регистрация и подключение КО в СККО не осуществляются.</w:t>
      </w:r>
    </w:p>
    <w:p>
      <w:pPr>
        <w:pStyle w:val="Normal"/>
        <w:tabs>
          <w:tab w:val="clear" w:pos="708"/>
          <w:tab w:val="left" w:pos="851" w:leader="none"/>
        </w:tabs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Размер залоговой стоимости определяется приказом Предприятия (информация публикуется на сайте </w:t>
      </w:r>
      <w:hyperlink r:id="rId6">
        <w:r>
          <w:rPr>
            <w:color w:val="0000FF"/>
            <w:sz w:val="22"/>
            <w:szCs w:val="22"/>
            <w:u w:val="single"/>
          </w:rPr>
          <w:t>www.s</w:t>
        </w:r>
        <w:r>
          <w:rPr>
            <w:color w:val="0000FF"/>
            <w:sz w:val="22"/>
            <w:szCs w:val="22"/>
            <w:u w:val="single"/>
            <w:lang w:val="en-US"/>
          </w:rPr>
          <w:t>kko</w:t>
        </w:r>
        <w:r>
          <w:rPr>
            <w:color w:val="0000FF"/>
            <w:sz w:val="22"/>
            <w:szCs w:val="22"/>
            <w:u w:val="single"/>
          </w:rPr>
          <w:t>.</w:t>
        </w:r>
        <w:r>
          <w:rPr>
            <w:color w:val="0000FF"/>
            <w:sz w:val="22"/>
            <w:szCs w:val="22"/>
            <w:u w:val="single"/>
            <w:lang w:val="en-US"/>
          </w:rPr>
          <w:t>by</w:t>
        </w:r>
      </w:hyperlink>
      <w:r>
        <w:rPr>
          <w:sz w:val="22"/>
          <w:szCs w:val="22"/>
        </w:rPr>
        <w:t>), действующим на дату предоставления Пользователем Заявки на подключение и документов и сведений, указанных в п.п.3.3.2 и  п.п.3.3.3.1 п.п.3.3 договора.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оплаты за услуги по информационному обслуживанию Пользователь направляет в свой обслуживающий банк не позднее 3 (трех) банковских дней с момента заключения договора заявление на акцепт платежных требований Предприятия на срок действия договора, известив об этом Предприятие в течение 3 (трех) рабочих дней путем предоставления копии заявления; 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либо самостоятельно вносит оплату за услуги путем перечисления денежных средств на расчетный счет Предприятия в соответствии с условиями договора.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наличии акцепта Предприятие выставляет к расчетному счету Пользователя платежное требование на оплату оказанных услуг, а Пользователь обязан обеспечить его оплату.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В случае возврата (аннулирования) не принятых банком платежных требований или недостаточности средств на счете, а также в случае отсутствия акцепта, Пользователь самостоятельно осуществляет оплату за услуги путем перечисления денежных средств на расчетный счет Предприятия не позднее 20 (двадцатого) числа месяца, следующего за месяцем оказания услуг.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Оплата за регистрацию и подключение КО к СККО осуществляется Пользователем путем перечисления денежных средств на расчетный счет Предприятия в течение 15 (пятнадцати) банковских дней с даты подключения КО к СККО, отраженной в Акте сдачи-приемки оказанных услуг.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Возврат Пользователю залоговой стоимости осуществляется не позднее 10 (десятого) числа месяца, следующего за месяцем отключения СКНО от КО, на основании </w:t>
      </w:r>
      <w:r>
        <w:rPr>
          <w:color w:val="000000"/>
          <w:sz w:val="22"/>
          <w:szCs w:val="22"/>
        </w:rPr>
        <w:t>Акта об отключении КО от СККО и Актов оказания услуг за месяц, в котором было произведено отключение СКНО, за вычетом сумм задолженности по договору. При невозврате в адрес Предприятия экземпляра Акта об отключении КО от СККО в течение 10 (десяти) календарных дней после его направления Пользователю</w:t>
      </w:r>
      <w:r>
        <w:rPr>
          <w:sz w:val="22"/>
          <w:szCs w:val="22"/>
        </w:rPr>
        <w:t xml:space="preserve">, Предприятие вправе вычесть из залоговой стоимости отключенного СКНО сумму задолженности по договору.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Особенности расчетов при подключении ПК к СККО</w:t>
      </w:r>
      <w:r>
        <w:rPr>
          <w:sz w:val="22"/>
          <w:szCs w:val="22"/>
          <w:u w:val="single"/>
        </w:rPr>
        <w:t xml:space="preserve">: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Оплата за услугу регистрации ПК в СККО и за услуги по информационному обслуживанию осуществляется Пользователем путем перечисления предварительной оплаты стоимости услуги в размере 100% на расчетный счет Предприятия в следующем порядке: </w:t>
      </w:r>
    </w:p>
    <w:p>
      <w:pPr>
        <w:pStyle w:val="Normal"/>
        <w:numPr>
          <w:ilvl w:val="3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позднее дня обращения за регистрацией каждой единицы ПК Пользователь вносит предварительную оплату за услуги регистрации ПК в размере 100% стоимости, и предварительную оплату за услуги по информационному обслуживанию (по количеству регистрируемых ПК) в размере 100% стоимости за 6 (шесть) календарных месяцев (либо за 12 календарных месяцев) путем перечисления денежных средств на расчетный счет Предприятия в соответствии с реквизитами, указанными в договоре; </w:t>
      </w:r>
    </w:p>
    <w:p>
      <w:pPr>
        <w:pStyle w:val="Normal"/>
        <w:numPr>
          <w:ilvl w:val="3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при продолжении эксплуатации ПК после истечения периода, за который внесена предварительная оплата за услуги по информационному обслуживанию, Пользователь не позднее 25 числа последнего месяца оплаченного периода обеспечивает внесение предварительной оплаты в размере 100% стоимости услуг за очередной выбранный период информационного обслуживания (6 месяцев/ 12 месяцев).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Предварительная оплата за услуги осуществляется по тарифам согласно прейскуранту, действующему на дату зачисления предварительной оплаты стоимости услуг на расчетный счет Предприятия. В последующем, при изменении тарифов в предоплаченном периоде, Пользователь производит доплату стоимости услуг в соответствии с действующим прейскурантом.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spacing w:before="120" w:after="120"/>
        <w:ind w:left="0" w:firstLine="284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 нарушение условий договора стороны несут ответственность в соответствии с законодательством и договором с учетом особенностей, связанных с использованием Пользователем КО либо ПК.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Ни одна из сторон не несет ответственность за полное или частичное неисполнение обязательств по договору, если неисполнение вызвано обстоятельствами непреодолимой силы, препятствующими его надлежащему исполнению, возникшими после заключения договора в результате событий чрезвычайного характера, которые стороны не могли предвидеть и предотвратить.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 несвоевременное исполнение обязательств по регистрации ПК в СККО, по регистрации и подключению КО в СККО, а также за несвоевременное устранение неисправностей работы СКНО по вине Предприятия, Предприятие уплачивает Пользователю штраф в размере 1 (одной) базовой величины, за исключением случаев, предусмотренных п.п.7.4. - 7.5. и п.п.7.6.6  п.7.6 договора.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Предприятие не несет ответственности за функционирование и доступность сети Интернет и сетей операторов сотовой электросвязи.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Предприятие не несет ответственность за возможные неблагоприятные последствия в случае внесения Пользователем в заявку неполных (недостоверных) сведений о себе и/или о КО и/или ПК.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Особенности ответственности сторон при использовании КО с установленным СКНО: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При наличии задолженности по договору Предприятие вправе прекратить доступ Пользователя к информации в СККО путем прекращения доступа к информации в СККО и отключения СКНО. Доступ Пользователя к информации в СККО возобновляется после погашения задолженности.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При наличии задолженности по оплате оказанных по договору услуг Пользователь уплачивает Предприятию пеню в размере 0,5% от неоплаченной суммы за каждый день просрочки.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В случае, если просрочка платежей составляет более 60 (шестидесяти) календарных дней, Пользователь уплачивает Предприятию штраф в размере 2 (двух) базовых величин.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rFonts w:eastAsia="Calibri"/>
          <w:sz w:val="22"/>
          <w:szCs w:val="22"/>
        </w:rPr>
        <w:t>В случае наличия просрочки платежей Предприятие вправе взыскать с Пользователя проценты за пользование чужими денежными средствами (ст.366 Гражданского кодекса Республики Беларусь). Размер процентов определяется ставкой рефинансирования Национального банка Республики Беларусь.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В случае утери СКНО, самовольного внедрения в СКНО, его демонтажа, изъятия, отключения от КО либо воздействия иным неправомерным способом Пользователь уплачивает Предприятию штраф в размере 20 (двадцати) базовых величин.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В случае не предоставления (несвоевременного предоставления) документов и сведений, указанных в п.п. 3.3.2, п.п.3.3.3.1 и 3.3.3.2 п.3.3, а также непредоставления доступа специалистам Предприятия к КО в течение сроков, указанных в п.п. 3.1.6 п.3.1, п.4.2, п.4.9 договора, Предприятие не несет ответственности за несвоевременное исполнение своих обязательств. В этом случае установка (отключение) СКНО осуществляется в порядке очередности согласно поданным заявкам, с учетом загруженности Предприятия и ЦТО.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В случае непредоставления доступа представителю Предприятия к КО для снятия СКНО в соответствии с п.4.9 договора, Пользователь уплачивает Предприятию штраф в размере 1 (одной) базовой величины.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Предприятие несет ответственность за ущерб, причиненный Пользователю действием или бездействием своих работников в результате использования СКНО только в случае, если Пользователь докажет прямое виновное действие или бездействие работников Предприятия, приведшее к причинению ущерба.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невозврате СКНО Пользователем залоговая стоимость не возвращается. Право собственности на СКНО сохраняется за Предприятием.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Залоговая стоимость не подлежит возврату при установлении факта неработоспособности СКНО по вине Пользователя, в том числе в результате использования не по назначению и других нештатных причин возникновения неисправности (падение, действие насекомых или грызунов, воздействие жидкости и т.п.), и невозможности восстановления его работоспособности (не подлежит ремонту), подтвержденной заводом-изготовителем. Взамен вышедшего из строя СКНО Предприятие устанавливает новое СКНО, а Пользователь обязуется внести за него залоговую стоимость в течение 10 (десяти) банковских дней с момента получения от Предприятия соответствующего требования.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Особенности ответственности сторон при использовании Пользователем ПК: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При наличии задолженности по оплате услуг Предприятие </w:t>
      </w:r>
      <w:r>
        <w:rPr>
          <w:color w:val="000000"/>
          <w:sz w:val="22"/>
          <w:szCs w:val="22"/>
        </w:rPr>
        <w:t>вправе отозвать ТСОК, которым снаряжено ПК (отключение ПК от СККО). После погашения задолженности и внесения предварительной оплаты за очередной выбранный период информационного обслуживания производится новая регистрация ПК в соответствии с условиями договора.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случае невнесения (несвоевременного внесения) предварительной оплаты за очередной выбранный период информационного обслуживания (6 месяцев/ 12 месяцев) Пользователь уплачивает Предприятию пеню в размере 0,5% от неоплаченной суммы за каждый день просрочки, а также штраф в размере 2 (двух) базовых величин при просрочке оплаты более 60 (шестидесяти) календарных дней. Размер базовой величины определяется на дату предъявления претензии Предприятием.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567" w:leader="none"/>
        </w:tabs>
        <w:spacing w:before="120" w:after="120"/>
        <w:ind w:left="0" w:firstLine="284"/>
        <w:jc w:val="center"/>
        <w:rPr>
          <w:sz w:val="22"/>
          <w:szCs w:val="22"/>
        </w:rPr>
      </w:pPr>
      <w:r>
        <w:rPr>
          <w:b/>
          <w:sz w:val="22"/>
          <w:szCs w:val="22"/>
        </w:rPr>
        <w:t>СРОК ДЕЙСТВИЯ ДОГОВОРА, ПРЕКРАЩЕНИЕ И РАСТОРЖЕНИЕ ДОГОВОРА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Договор вступает в силу с момента подписания обеими сторонами и действует бессрочно.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426" w:leader="none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Договор распространяет свое действие только в отношении КО и/или ПК, включенного Пользователем в Перечень кассового оборудования, подлежащего подключению к СККО, и/или по которым поданы и не отозваны заявки на регистрацию и/или подключение к СККО.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возникновении у Пользователя в период действия договора необходимости в регистрации и/или подключении к СККО новых (дополнительных) единиц КО и/или ПК, действие договора распространяется на такое КО и/или ПК только с момента его регистрации и/или подключения в СККО. Регистрация и /или подключение такого КО и/или ПК осуществляется в соответствии с условиями договора.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  <w:lang w:eastAsia="ru-RU"/>
        </w:rPr>
      </w:pPr>
      <w:r>
        <w:rPr>
          <w:sz w:val="22"/>
          <w:szCs w:val="22"/>
        </w:rPr>
        <w:t>Договор может быть расторгнут по соглашению сторон, а также по инициативе одной из Сторон (односторонний отказ от договора) с обязательным уведомлением об этом второй Стороны (почтой, по факсу, нарочным) не менее чем за 10 (десять) календарных дней до даты расторжения.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  <w:lang w:eastAsia="ru-RU"/>
        </w:rPr>
      </w:pPr>
      <w:r>
        <w:rPr>
          <w:sz w:val="22"/>
          <w:szCs w:val="22"/>
        </w:rPr>
        <w:t xml:space="preserve">До момента расторжения договора: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  <w:lang w:eastAsia="ru-RU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Предприятие производит отзыв ТСОК в отношении всех ПК, сведения о которых внесены в СККО на дату получения уведомления Пользователя о расторжении договора;  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Пользователь обязан предоставить доступ представителю Предприятия к КО для снятия СКНО.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567" w:leader="none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  <w:lang w:eastAsia="ru-RU"/>
        </w:rPr>
        <w:t>При одностороннем отказе от договора договор продолжает действие в части принятых¸ но неисполненных по договору обязательств (в том числе по оплате задолженности), до полного их исполнения.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b/>
          <w:b/>
          <w:sz w:val="22"/>
          <w:szCs w:val="22"/>
        </w:rPr>
      </w:pPr>
      <w:r>
        <w:rPr>
          <w:sz w:val="22"/>
          <w:szCs w:val="22"/>
        </w:rPr>
        <w:t xml:space="preserve">Отсутствие предварительной оплаты за услуги по информационному обслуживанию в СККО в отношении ПК на последнее число месяца, за который оплачены услуги, может являться основанием к расторжению договора Предприятием в одностороннем внесудебном порядке (односторонний отказ от договора) с осуществлением процедуры отзыва ТСОК. В последующем новая регистрация в СККО отключенной ПК осуществляется в соответствии с условиями договора.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b/>
          <w:b/>
          <w:sz w:val="22"/>
          <w:szCs w:val="22"/>
        </w:rPr>
      </w:pPr>
      <w:r>
        <w:rPr>
          <w:sz w:val="22"/>
          <w:szCs w:val="22"/>
        </w:rPr>
        <w:t>В случае расторжения договора Предприятием в одностороннем порядке (односторонний отказ от договора) по вине Пользователя, Предприятие уведомляет об этом инспекцию Министерства по налогам и сборам Республики Беларусь по месту регистрации Пользователя.</w:t>
      </w:r>
    </w:p>
    <w:p>
      <w:pPr>
        <w:pStyle w:val="Normal"/>
        <w:tabs>
          <w:tab w:val="clear" w:pos="708"/>
          <w:tab w:val="left" w:pos="851" w:leader="none"/>
        </w:tabs>
        <w:ind w:left="284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820" w:leader="none"/>
        </w:tabs>
        <w:spacing w:before="120" w:after="120"/>
        <w:ind w:left="0" w:firstLine="284"/>
        <w:jc w:val="center"/>
        <w:rPr>
          <w:sz w:val="22"/>
          <w:szCs w:val="22"/>
        </w:rPr>
      </w:pPr>
      <w:r>
        <w:rPr>
          <w:b/>
          <w:sz w:val="22"/>
          <w:szCs w:val="22"/>
        </w:rPr>
        <w:t>ОСОБЫЕ УСЛОВИЯ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b/>
          <w:b/>
          <w:sz w:val="22"/>
          <w:szCs w:val="22"/>
        </w:rPr>
      </w:pPr>
      <w:r>
        <w:rPr>
          <w:sz w:val="22"/>
          <w:szCs w:val="22"/>
        </w:rPr>
        <w:t>Стороны гарантируют соблюдение конфиденциальности в отношении сведений, полученных или ставших им известными в ходе исполнения договора. Стороны не несут ответственности в случае передачи информации государственным органам, имеющим право получить ее в соответствии с законодательством Республики Беларусь.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Все изменения и дополнения договора (за исключением приложений к договору) действительны при условии подписания сторонами дополнительного соглашения.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Все споры и разногласия, возникающие по договору, разрешаются путем переговоров и в претензионном порядке. Результаты достигнутых в ходе переговоров соглашений закрепляются в дополнительных соглашениях к договору, подписываемых обеими сторонами. Ответ на претензию должен быть направлен не позднее 10 (десяти) календарных дней с момента ее получения. Споры, не урегулированные путем переговоров, в том числе в случае неудовлетворения претензии или неполучения ответа на претензию, подлежат рассмотрению в экономическом суде города Минска в соответствии с законодательством.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В случае изменения банковских реквизитов, адреса местонахождения, почтового адреса, наименования юридического лица (фамилии, собственного имени, отчества индивидуального предпринимателя), стороны письменно уведомляют об этом друг друга в течение 10 (десяти) календарных дней. В случае не предоставления (несвоевременного предоставления) Пользователем указанных сведений Предприятие не несет ответственности за возможные последствия.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Стороны признают юридическую силу документов (актов, заявок и др.), подписанных уполномоченными представителями сторон с использованием факсимиле.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Стороны признают юридическую силу документов, переданных с использованием факсимильной связи (по факсу) или посредством электронной почты (передача сканированных копий документов) с обязательной заменой оригиналами в течение 30 (тридцати) дней.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851" w:leader="none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Все приложения к договору, а также документы, предоставленные Пользователем в целях регистрации КО и/или ПК в СККО (заявки на подключение (отключение, изменение сведений), копии договоров с ЦТО и оператором ПКС и др.), являются его неотъемлемой частью.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567" w:leader="none"/>
        </w:tabs>
        <w:spacing w:before="120" w:after="120"/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 на русском языке, имеющих равную юридическую силу, по одному для каждой стороны.».</w:t>
      </w:r>
    </w:p>
    <w:p>
      <w:pPr>
        <w:pStyle w:val="Normal"/>
        <w:spacing w:before="120" w:after="120"/>
        <w:ind w:firstLine="284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2.</w:t>
        <w:tab/>
        <w:t>Перечень (Перечни) кассового оборудования, подлежащего подключению к СККО (График подключения), составленный(ые) до вступления в силу настоящего дополнительного соглашения, сохраняет(ют) свое действие в течение срока действия Договора.</w:t>
      </w:r>
    </w:p>
    <w:p>
      <w:pPr>
        <w:pStyle w:val="Normal"/>
        <w:spacing w:before="120" w:after="120"/>
        <w:ind w:firstLine="284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3.</w:t>
        <w:tab/>
        <w:t>Настоящее дополнительное соглашение вступает в силу со дня его подписания Сторонами, составлено в двух экземплярах, имеющих одинаковую юридическую силу, по одному для каждой из Сторон.</w:t>
      </w:r>
    </w:p>
    <w:p>
      <w:pPr>
        <w:pStyle w:val="Normal"/>
        <w:tabs>
          <w:tab w:val="clear" w:pos="708"/>
          <w:tab w:val="left" w:pos="709" w:leader="none"/>
        </w:tabs>
        <w:spacing w:before="120" w:after="12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10. РЕКВИЗИТЫ И АДРЕСА СТОРОН</w:t>
      </w:r>
    </w:p>
    <w:tbl>
      <w:tblPr>
        <w:tblW w:w="103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02"/>
        <w:gridCol w:w="5245"/>
      </w:tblGrid>
      <w:tr>
        <w:trPr/>
        <w:tc>
          <w:tcPr>
            <w:tcW w:w="5102" w:type="dxa"/>
            <w:tcBorders/>
            <w:shd w:color="auto" w:fill="auto" w:val="clear"/>
          </w:tcPr>
          <w:p>
            <w:pPr>
              <w:pStyle w:val="Heading5"/>
              <w:widowControl w:val="false"/>
              <w:numPr>
                <w:ilvl w:val="4"/>
                <w:numId w:val="2"/>
              </w:numPr>
              <w:tabs>
                <w:tab w:val="clear" w:pos="708"/>
                <w:tab w:val="left" w:pos="709" w:leader="none"/>
              </w:tabs>
              <w:ind w:left="0" w:firstLine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ПРЕДПРИЯТИЕ:</w:t>
            </w:r>
          </w:p>
          <w:p>
            <w:pPr>
              <w:pStyle w:val="Heading5"/>
              <w:widowControl w:val="false"/>
              <w:numPr>
                <w:ilvl w:val="4"/>
                <w:numId w:val="2"/>
              </w:numPr>
              <w:tabs>
                <w:tab w:val="clear" w:pos="708"/>
                <w:tab w:val="left" w:pos="709" w:leader="none"/>
              </w:tabs>
              <w:ind w:left="0" w:firstLine="34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Республиканское унитарное предприятие  </w:t>
            </w:r>
          </w:p>
          <w:p>
            <w:pPr>
              <w:pStyle w:val="Heading5"/>
              <w:widowControl w:val="false"/>
              <w:numPr>
                <w:ilvl w:val="4"/>
                <w:numId w:val="2"/>
              </w:numPr>
              <w:tabs>
                <w:tab w:val="clear" w:pos="708"/>
                <w:tab w:val="left" w:pos="709" w:leader="none"/>
              </w:tabs>
              <w:ind w:left="0" w:firstLine="34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«Информационно-издательский центр по налогам </w:t>
            </w:r>
          </w:p>
          <w:p>
            <w:pPr>
              <w:pStyle w:val="Heading5"/>
              <w:widowControl w:val="false"/>
              <w:numPr>
                <w:ilvl w:val="4"/>
                <w:numId w:val="2"/>
              </w:numPr>
              <w:tabs>
                <w:tab w:val="clear" w:pos="708"/>
                <w:tab w:val="left" w:pos="709" w:leader="none"/>
              </w:tabs>
              <w:ind w:left="0" w:firstLine="34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и сборам»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firstLine="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220005, г.Минск, пр.Машерова, д.7, к.123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firstLine="34"/>
              <w:rPr>
                <w:rStyle w:val="Strong"/>
                <w:b w:val="false"/>
                <w:b w:val="false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телефон (017) 2691800, (017) 2691919,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rPr>
                <w:bCs/>
                <w:sz w:val="22"/>
                <w:szCs w:val="22"/>
              </w:rPr>
            </w:pPr>
            <w:r>
              <w:rPr>
                <w:rStyle w:val="Strong"/>
                <w:b w:val="false"/>
                <w:sz w:val="22"/>
                <w:szCs w:val="22"/>
              </w:rPr>
              <w:t xml:space="preserve"> </w:t>
            </w:r>
            <w:r>
              <w:rPr>
                <w:rStyle w:val="Strong"/>
                <w:b w:val="false"/>
                <w:sz w:val="22"/>
                <w:szCs w:val="22"/>
              </w:rPr>
              <w:t xml:space="preserve">УНП </w:t>
            </w:r>
            <w:r>
              <w:rPr>
                <w:sz w:val="22"/>
                <w:szCs w:val="22"/>
              </w:rPr>
              <w:t>190819036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4" w:leader="none"/>
              </w:tabs>
              <w:ind w:firstLine="34"/>
              <w:rPr>
                <w:rStyle w:val="Strong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Style w:val="Strong"/>
                <w:b w:val="false"/>
                <w:color w:val="000000"/>
                <w:sz w:val="22"/>
                <w:szCs w:val="22"/>
              </w:rPr>
              <w:t>р/с BY86 AKBB 3012 0000 0499 8000 0000 в ОАО «АСБ «Беларусбанк» ЦБУ №510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rPr>
                <w:rStyle w:val="Strong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Style w:val="Strong"/>
                <w:b w:val="false"/>
                <w:color w:val="000000"/>
                <w:sz w:val="22"/>
                <w:szCs w:val="22"/>
              </w:rPr>
              <w:t>код AKBBBY2Х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rPr>
                <w:rStyle w:val="Strong"/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rPr>
                <w:rStyle w:val="Strong"/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rPr>
                <w:rStyle w:val="Strong"/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_____________________________________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firstLine="284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              </w:t>
            </w:r>
            <w:r>
              <w:rPr>
                <w:i/>
                <w:sz w:val="18"/>
                <w:szCs w:val="18"/>
                <w:lang w:val="en-US"/>
              </w:rPr>
              <w:t xml:space="preserve">    </w:t>
            </w:r>
            <w:r>
              <w:rPr>
                <w:i/>
                <w:sz w:val="18"/>
                <w:szCs w:val="18"/>
              </w:rPr>
              <w:t>(должность)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rPr>
                <w:i/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rPr>
                <w:i/>
                <w:i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_______________</w:t>
            </w:r>
            <w:r>
              <w:rPr>
                <w:sz w:val="22"/>
                <w:szCs w:val="22"/>
              </w:rPr>
              <w:t>/_______</w:t>
            </w:r>
            <w:r>
              <w:rPr>
                <w:sz w:val="22"/>
                <w:szCs w:val="22"/>
                <w:lang w:val="en-US"/>
              </w:rPr>
              <w:t>_________</w:t>
            </w:r>
            <w:r>
              <w:rPr>
                <w:sz w:val="22"/>
                <w:szCs w:val="22"/>
              </w:rPr>
              <w:t>____</w:t>
            </w:r>
            <w:r>
              <w:rPr>
                <w:sz w:val="22"/>
                <w:szCs w:val="22"/>
                <w:lang w:val="en-US"/>
              </w:rPr>
              <w:t>_____</w:t>
            </w:r>
            <w:r>
              <w:rPr>
                <w:sz w:val="22"/>
                <w:szCs w:val="22"/>
              </w:rPr>
              <w:t>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firstLine="34"/>
              <w:rPr>
                <w:b/>
                <w:b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(подпись)               </w:t>
            </w:r>
            <w:r>
              <w:rPr>
                <w:i/>
                <w:sz w:val="18"/>
                <w:szCs w:val="18"/>
                <w:lang w:val="en-US"/>
              </w:rPr>
              <w:t xml:space="preserve">   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  <w:lang w:val="en-US"/>
              </w:rPr>
              <w:t xml:space="preserve">         </w:t>
            </w:r>
            <w:r>
              <w:rPr>
                <w:i/>
                <w:sz w:val="18"/>
                <w:szCs w:val="18"/>
              </w:rPr>
              <w:t>(фамилия, инициалы)</w:t>
            </w:r>
          </w:p>
        </w:tc>
        <w:tc>
          <w:tcPr>
            <w:tcW w:w="524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ПОЛЬЗОВАТЕЛЬ: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jc w:val="both"/>
              <w:rPr>
                <w:sz w:val="18"/>
                <w:szCs w:val="18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ORG</w:t>
            </w:r>
            <w:r>
              <w:rPr>
                <w:sz w:val="22"/>
                <w:szCs w:val="22"/>
                <w:highlight w:val="yellow"/>
              </w:rPr>
              <w:t>_</w:t>
            </w:r>
            <w:r>
              <w:rPr>
                <w:sz w:val="22"/>
                <w:szCs w:val="22"/>
                <w:highlight w:val="yellow"/>
                <w:lang w:val="en-US"/>
              </w:rPr>
              <w:t>NAME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jc w:val="both"/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полное наименование юридического лица, (фамилия, имя, отчество индивидуального предпринимателя)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rPr>
                <w:sz w:val="22"/>
                <w:szCs w:val="22"/>
                <w:highlight w:val="yellow"/>
                <w:lang w:val="en-US" w:eastAsia="zh-CN"/>
              </w:rPr>
            </w:pPr>
            <w:r>
              <w:rPr>
                <w:sz w:val="22"/>
                <w:szCs w:val="22"/>
                <w:highlight w:val="yellow"/>
                <w:lang w:val="en-US" w:eastAsia="zh-CN"/>
              </w:rPr>
              <w:t>LEGAL_ADDRESS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местонахождение 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{company[post_address]}</w:t>
            </w:r>
            <w:bookmarkStart w:id="9" w:name="_GoBack"/>
            <w:bookmarkEnd w:id="9"/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почтовый</w:t>
            </w:r>
            <w:r>
              <w:rPr>
                <w:i/>
                <w:sz w:val="18"/>
                <w:szCs w:val="18"/>
                <w:lang w:val="en-US"/>
              </w:rPr>
              <w:t xml:space="preserve">  </w:t>
            </w:r>
            <w:r>
              <w:rPr>
                <w:i/>
                <w:sz w:val="18"/>
                <w:szCs w:val="18"/>
              </w:rPr>
              <w:t>адрес</w:t>
            </w:r>
            <w:r>
              <w:rPr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e-mail </w:t>
            </w:r>
            <w:r>
              <w:rPr>
                <w:sz w:val="22"/>
                <w:szCs w:val="22"/>
                <w:highlight w:val="yellow"/>
                <w:lang w:val="en-US" w:eastAsia="zh-CN"/>
              </w:rPr>
              <w:t>COMPANY_EMAIL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телефоны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highlight w:val="yellow"/>
                <w:lang w:val="en-US"/>
              </w:rPr>
              <w:t>{company[phone]}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УНП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highlight w:val="yellow"/>
                <w:lang w:val="en-US" w:eastAsia="zh-CN" w:bidi="ar-SA"/>
              </w:rPr>
              <w:t>UNP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jc w:val="cente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BANK_ACCOUNT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highlight w:val="yellow"/>
                <w:lang w:val="en-US"/>
              </w:rPr>
              <w:t>BANK_BIC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highlight w:val="yellow"/>
                <w:lang w:val="en-US"/>
              </w:rPr>
              <w:t>BANK_NAME</w:t>
            </w:r>
            <w:r>
              <w:rPr>
                <w:i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расчетный счет, наименование и код банка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rPr>
                <w:i/>
                <w:i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________________________________</w:t>
            </w: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lang w:val="en-US"/>
              </w:rPr>
              <w:t>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firstLine="284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                      </w:t>
            </w:r>
            <w:r>
              <w:rPr>
                <w:i/>
                <w:sz w:val="18"/>
                <w:szCs w:val="18"/>
              </w:rPr>
              <w:t>(должность)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rPr>
                <w:i/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rPr>
                <w:i/>
                <w:i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________________</w:t>
            </w:r>
            <w:r>
              <w:rPr>
                <w:sz w:val="22"/>
                <w:szCs w:val="22"/>
              </w:rPr>
              <w:t>/____</w:t>
            </w:r>
            <w:r>
              <w:rPr>
                <w:sz w:val="22"/>
                <w:szCs w:val="22"/>
                <w:lang w:val="en-US"/>
              </w:rPr>
              <w:t>__</w:t>
            </w:r>
            <w:r>
              <w:rPr>
                <w:sz w:val="22"/>
                <w:szCs w:val="22"/>
              </w:rPr>
              <w:t>____</w:t>
            </w:r>
            <w:r>
              <w:rPr>
                <w:sz w:val="22"/>
                <w:szCs w:val="22"/>
                <w:lang w:val="en-US"/>
              </w:rPr>
              <w:t>_______</w:t>
            </w:r>
            <w:r>
              <w:rPr>
                <w:sz w:val="22"/>
                <w:szCs w:val="22"/>
              </w:rPr>
              <w:t>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firstLine="34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(подпись)                      (фамилия, инициалы)</w:t>
            </w:r>
          </w:p>
        </w:tc>
      </w:tr>
      <w:tr>
        <w:trPr/>
        <w:tc>
          <w:tcPr>
            <w:tcW w:w="5102" w:type="dxa"/>
            <w:tcBorders/>
            <w:shd w:color="auto" w:fill="auto" w:val="clear"/>
          </w:tcPr>
          <w:p>
            <w:pPr>
              <w:pStyle w:val="Heading5"/>
              <w:widowControl w:val="false"/>
              <w:numPr>
                <w:ilvl w:val="4"/>
                <w:numId w:val="2"/>
              </w:numPr>
              <w:tabs>
                <w:tab w:val="clear" w:pos="708"/>
                <w:tab w:val="left" w:pos="709" w:leader="none"/>
              </w:tabs>
              <w:ind w:left="0" w:firstLine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24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ind w:left="459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/>
      </w:r>
    </w:p>
    <w:sectPr>
      <w:type w:val="nextPage"/>
      <w:pgSz w:w="11906" w:h="16838"/>
      <w:pgMar w:left="1134" w:right="566" w:header="0" w:top="993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sz w:val="22"/>
        <w:b/>
        <w:szCs w:val="22"/>
        <w:bCs w:val="false"/>
        <w:rFonts w:eastAsia="Calibri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dstrike w:val="false"/>
        <w:strike w:val="false"/>
        <w:sz w:val="22"/>
        <w:i w:val="false"/>
        <w:b w:val="false"/>
        <w:szCs w:val="22"/>
        <w:rFonts w:eastAsia="Calibri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sz w:val="22"/>
        <w:b w:val="false"/>
        <w:szCs w:val="22"/>
        <w:bCs w:val="false"/>
        <w:rFonts w:eastAsia="Calibri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sz w:val="22"/>
        <w:b w:val="false"/>
        <w:szCs w:val="22"/>
        <w:bCs w:val="false"/>
        <w:rFonts w:eastAsia="Calibri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sz w:val="20"/>
        <w:b w:val="false"/>
        <w:szCs w:val="20"/>
        <w:bCs w:val="false"/>
        <w:rFonts w:eastAsia="Calibri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sz w:val="20"/>
        <w:b w:val="false"/>
        <w:szCs w:val="20"/>
        <w:bCs w:val="false"/>
        <w:rFonts w:eastAsia="Calibri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sz w:val="20"/>
        <w:b w:val="false"/>
        <w:szCs w:val="20"/>
        <w:bCs w:val="false"/>
        <w:rFonts w:eastAsia="Calibri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sz w:val="20"/>
        <w:b w:val="false"/>
        <w:szCs w:val="20"/>
        <w:bCs w:val="false"/>
        <w:rFonts w:eastAsia="Calibri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sz w:val="20"/>
        <w:b w:val="false"/>
        <w:szCs w:val="20"/>
        <w:bCs w:val="false"/>
        <w:rFonts w:eastAsia="Calibri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5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141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semiHidden="1" w:unhideWhenUsed="1" w:qFormat="1"/>
    <w:lsdException w:name="heading 5" w:uiPriority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5e0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Title"/>
    <w:next w:val="TextBody"/>
    <w:link w:val="10"/>
    <w:qFormat/>
    <w:rsid w:val="00975e02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le"/>
    <w:next w:val="TextBody"/>
    <w:link w:val="20"/>
    <w:qFormat/>
    <w:rsid w:val="00975e02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itle"/>
    <w:next w:val="TextBody"/>
    <w:link w:val="30"/>
    <w:qFormat/>
    <w:rsid w:val="00975e02"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rsid w:val="00975e02"/>
    <w:pPr>
      <w:keepNext w:val="true"/>
      <w:numPr>
        <w:ilvl w:val="4"/>
        <w:numId w:val="1"/>
      </w:numPr>
      <w:outlineLvl w:val="4"/>
    </w:pPr>
    <w:rPr>
      <w:b/>
      <w:sz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sid w:val="00975e02"/>
    <w:rPr/>
  </w:style>
  <w:style w:type="character" w:styleId="WW8Num1z1" w:customStyle="1">
    <w:name w:val="WW8Num1z1"/>
    <w:qFormat/>
    <w:rsid w:val="00975e02"/>
    <w:rPr/>
  </w:style>
  <w:style w:type="character" w:styleId="WW8Num1z2" w:customStyle="1">
    <w:name w:val="WW8Num1z2"/>
    <w:qFormat/>
    <w:rsid w:val="00975e02"/>
    <w:rPr/>
  </w:style>
  <w:style w:type="character" w:styleId="WW8Num1z3" w:customStyle="1">
    <w:name w:val="WW8Num1z3"/>
    <w:qFormat/>
    <w:rsid w:val="00975e02"/>
    <w:rPr/>
  </w:style>
  <w:style w:type="character" w:styleId="WW8Num1z4" w:customStyle="1">
    <w:name w:val="WW8Num1z4"/>
    <w:qFormat/>
    <w:rsid w:val="00975e02"/>
    <w:rPr/>
  </w:style>
  <w:style w:type="character" w:styleId="WW8Num1z5" w:customStyle="1">
    <w:name w:val="WW8Num1z5"/>
    <w:qFormat/>
    <w:rsid w:val="00975e02"/>
    <w:rPr/>
  </w:style>
  <w:style w:type="character" w:styleId="WW8Num1z6" w:customStyle="1">
    <w:name w:val="WW8Num1z6"/>
    <w:qFormat/>
    <w:rsid w:val="00975e02"/>
    <w:rPr/>
  </w:style>
  <w:style w:type="character" w:styleId="WW8Num1z7" w:customStyle="1">
    <w:name w:val="WW8Num1z7"/>
    <w:qFormat/>
    <w:rsid w:val="00975e02"/>
    <w:rPr/>
  </w:style>
  <w:style w:type="character" w:styleId="WW8Num1z8" w:customStyle="1">
    <w:name w:val="WW8Num1z8"/>
    <w:qFormat/>
    <w:rsid w:val="00975e02"/>
    <w:rPr/>
  </w:style>
  <w:style w:type="character" w:styleId="WW8Num2z0" w:customStyle="1">
    <w:name w:val="WW8Num2z0"/>
    <w:qFormat/>
    <w:rsid w:val="00975e02"/>
    <w:rPr>
      <w:b/>
      <w:sz w:val="20"/>
      <w:szCs w:val="20"/>
    </w:rPr>
  </w:style>
  <w:style w:type="character" w:styleId="WW8Num2z1" w:customStyle="1">
    <w:name w:val="WW8Num2z1"/>
    <w:qFormat/>
    <w:rsid w:val="00975e02"/>
    <w:rPr>
      <w:rFonts w:eastAsia="Calibri"/>
      <w:b w:val="false"/>
      <w:bCs w:val="false"/>
      <w:i w:val="false"/>
      <w:sz w:val="20"/>
      <w:szCs w:val="20"/>
    </w:rPr>
  </w:style>
  <w:style w:type="character" w:styleId="WW8Num2z2" w:customStyle="1">
    <w:name w:val="WW8Num2z2"/>
    <w:qFormat/>
    <w:rsid w:val="00975e02"/>
    <w:rPr/>
  </w:style>
  <w:style w:type="character" w:styleId="WW8Num2z3" w:customStyle="1">
    <w:name w:val="WW8Num2z3"/>
    <w:qFormat/>
    <w:rsid w:val="00975e02"/>
    <w:rPr/>
  </w:style>
  <w:style w:type="character" w:styleId="WW8Num2z4" w:customStyle="1">
    <w:name w:val="WW8Num2z4"/>
    <w:qFormat/>
    <w:rsid w:val="00975e02"/>
    <w:rPr/>
  </w:style>
  <w:style w:type="character" w:styleId="WW8Num2z5" w:customStyle="1">
    <w:name w:val="WW8Num2z5"/>
    <w:qFormat/>
    <w:rsid w:val="00975e02"/>
    <w:rPr/>
  </w:style>
  <w:style w:type="character" w:styleId="WW8Num2z6" w:customStyle="1">
    <w:name w:val="WW8Num2z6"/>
    <w:qFormat/>
    <w:rsid w:val="00975e02"/>
    <w:rPr/>
  </w:style>
  <w:style w:type="character" w:styleId="WW8Num2z7" w:customStyle="1">
    <w:name w:val="WW8Num2z7"/>
    <w:qFormat/>
    <w:rsid w:val="00975e02"/>
    <w:rPr/>
  </w:style>
  <w:style w:type="character" w:styleId="WW8Num2z8" w:customStyle="1">
    <w:name w:val="WW8Num2z8"/>
    <w:qFormat/>
    <w:rsid w:val="00975e02"/>
    <w:rPr/>
  </w:style>
  <w:style w:type="character" w:styleId="WW8Num3z0" w:customStyle="1">
    <w:name w:val="WW8Num3z0"/>
    <w:qFormat/>
    <w:rsid w:val="00975e02"/>
    <w:rPr>
      <w:rFonts w:eastAsia="Calibri"/>
      <w:b w:val="false"/>
      <w:bCs w:val="false"/>
      <w:sz w:val="20"/>
      <w:szCs w:val="20"/>
    </w:rPr>
  </w:style>
  <w:style w:type="character" w:styleId="WW8Num3z1" w:customStyle="1">
    <w:name w:val="WW8Num3z1"/>
    <w:qFormat/>
    <w:rsid w:val="00975e02"/>
    <w:rPr>
      <w:rFonts w:eastAsia="Calibri"/>
      <w:b w:val="false"/>
      <w:i w:val="false"/>
      <w:color w:val="000000"/>
      <w:sz w:val="20"/>
      <w:szCs w:val="20"/>
    </w:rPr>
  </w:style>
  <w:style w:type="character" w:styleId="WW8Num4z0" w:customStyle="1">
    <w:name w:val="WW8Num4z0"/>
    <w:qFormat/>
    <w:rsid w:val="00975e02"/>
    <w:rPr/>
  </w:style>
  <w:style w:type="character" w:styleId="WW8Num4z1" w:customStyle="1">
    <w:name w:val="WW8Num4z1"/>
    <w:qFormat/>
    <w:rsid w:val="00975e02"/>
    <w:rPr>
      <w:rFonts w:ascii="Times New Roman" w:hAnsi="Times New Roman" w:eastAsia="Times New Roman" w:cs="Times New Roman"/>
    </w:rPr>
  </w:style>
  <w:style w:type="character" w:styleId="WW8Num4z2" w:customStyle="1">
    <w:name w:val="WW8Num4z2"/>
    <w:qFormat/>
    <w:rsid w:val="00975e02"/>
    <w:rPr/>
  </w:style>
  <w:style w:type="character" w:styleId="WW8Num4z3" w:customStyle="1">
    <w:name w:val="WW8Num4z3"/>
    <w:qFormat/>
    <w:rsid w:val="00975e02"/>
    <w:rPr/>
  </w:style>
  <w:style w:type="character" w:styleId="WW8Num4z4" w:customStyle="1">
    <w:name w:val="WW8Num4z4"/>
    <w:qFormat/>
    <w:rsid w:val="00975e02"/>
    <w:rPr/>
  </w:style>
  <w:style w:type="character" w:styleId="WW8Num4z5" w:customStyle="1">
    <w:name w:val="WW8Num4z5"/>
    <w:qFormat/>
    <w:rsid w:val="00975e02"/>
    <w:rPr/>
  </w:style>
  <w:style w:type="character" w:styleId="WW8Num4z6" w:customStyle="1">
    <w:name w:val="WW8Num4z6"/>
    <w:qFormat/>
    <w:rsid w:val="00975e02"/>
    <w:rPr/>
  </w:style>
  <w:style w:type="character" w:styleId="WW8Num4z7" w:customStyle="1">
    <w:name w:val="WW8Num4z7"/>
    <w:qFormat/>
    <w:rsid w:val="00975e02"/>
    <w:rPr/>
  </w:style>
  <w:style w:type="character" w:styleId="WW8Num4z8" w:customStyle="1">
    <w:name w:val="WW8Num4z8"/>
    <w:qFormat/>
    <w:rsid w:val="00975e02"/>
    <w:rPr/>
  </w:style>
  <w:style w:type="character" w:styleId="1" w:customStyle="1">
    <w:name w:val="Основной шрифт абзаца1"/>
    <w:qFormat/>
    <w:rsid w:val="00975e02"/>
    <w:rPr/>
  </w:style>
  <w:style w:type="character" w:styleId="5" w:customStyle="1">
    <w:name w:val="Заголовок 5 Знак"/>
    <w:qFormat/>
    <w:rsid w:val="00975e02"/>
    <w:rPr>
      <w:rFonts w:ascii="Times New Roman" w:hAnsi="Times New Roman" w:eastAsia="Times New Roman" w:cs="Times New Roman"/>
      <w:b/>
      <w:sz w:val="20"/>
      <w:szCs w:val="24"/>
    </w:rPr>
  </w:style>
  <w:style w:type="character" w:styleId="Strong">
    <w:name w:val="Strong"/>
    <w:qFormat/>
    <w:rsid w:val="00975e02"/>
    <w:rPr>
      <w:b/>
      <w:bCs/>
    </w:rPr>
  </w:style>
  <w:style w:type="character" w:styleId="InternetLink">
    <w:name w:val="Hyperlink"/>
    <w:rsid w:val="00975e02"/>
    <w:rPr>
      <w:color w:val="0000FF"/>
      <w:u w:val="single"/>
    </w:rPr>
  </w:style>
  <w:style w:type="character" w:styleId="Style10" w:customStyle="1">
    <w:name w:val="Верхний колонтитул Знак"/>
    <w:qFormat/>
    <w:rsid w:val="00975e02"/>
    <w:rPr>
      <w:rFonts w:ascii="Times New Roman" w:hAnsi="Times New Roman" w:eastAsia="Times New Roman" w:cs="Times New Roman"/>
      <w:sz w:val="24"/>
      <w:szCs w:val="24"/>
    </w:rPr>
  </w:style>
  <w:style w:type="character" w:styleId="Style11" w:customStyle="1">
    <w:name w:val="Нижний колонтитул Знак"/>
    <w:qFormat/>
    <w:rsid w:val="00975e02"/>
    <w:rPr>
      <w:rFonts w:ascii="Times New Roman" w:hAnsi="Times New Roman" w:eastAsia="Times New Roman" w:cs="Times New Roman"/>
      <w:sz w:val="24"/>
      <w:szCs w:val="24"/>
    </w:rPr>
  </w:style>
  <w:style w:type="character" w:styleId="Style12" w:customStyle="1">
    <w:name w:val="Текст выноски Знак"/>
    <w:link w:val="af5"/>
    <w:uiPriority w:val="99"/>
    <w:semiHidden/>
    <w:qFormat/>
    <w:rsid w:val="00ae2f0f"/>
    <w:rPr>
      <w:rFonts w:ascii="Tahoma" w:hAnsi="Tahoma" w:cs="Tahoma"/>
      <w:sz w:val="16"/>
      <w:szCs w:val="16"/>
      <w:lang w:eastAsia="zh-CN"/>
    </w:rPr>
  </w:style>
  <w:style w:type="character" w:styleId="Style13" w:customStyle="1">
    <w:name w:val="Неразрешенное упоминание"/>
    <w:uiPriority w:val="99"/>
    <w:semiHidden/>
    <w:unhideWhenUsed/>
    <w:qFormat/>
    <w:rsid w:val="00992b9e"/>
    <w:rPr>
      <w:color w:val="808080"/>
      <w:shd w:fill="E6E6E6" w:val="clear"/>
    </w:rPr>
  </w:style>
  <w:style w:type="character" w:styleId="Hnormal" w:customStyle="1">
    <w:name w:val="h-normal"/>
    <w:qFormat/>
    <w:rsid w:val="00d91869"/>
    <w:rPr/>
  </w:style>
  <w:style w:type="character" w:styleId="Emphasis">
    <w:name w:val="Emphasis"/>
    <w:uiPriority w:val="20"/>
    <w:qFormat/>
    <w:rsid w:val="00d91869"/>
    <w:rPr>
      <w:i/>
      <w:iCs/>
    </w:rPr>
  </w:style>
  <w:style w:type="character" w:styleId="11" w:customStyle="1">
    <w:name w:val="Заголовок 1 Знак"/>
    <w:link w:val="1"/>
    <w:qFormat/>
    <w:rsid w:val="00860173"/>
    <w:rPr>
      <w:rFonts w:ascii="Liberation Sans" w:hAnsi="Liberation Sans" w:eastAsia="Microsoft YaHei" w:cs="Mangal"/>
      <w:b/>
      <w:bCs/>
      <w:sz w:val="36"/>
      <w:szCs w:val="36"/>
      <w:lang w:val="ru-RU" w:eastAsia="zh-CN"/>
    </w:rPr>
  </w:style>
  <w:style w:type="character" w:styleId="2" w:customStyle="1">
    <w:name w:val="Заголовок 2 Знак"/>
    <w:link w:val="2"/>
    <w:qFormat/>
    <w:rsid w:val="00860173"/>
    <w:rPr>
      <w:rFonts w:ascii="Liberation Sans" w:hAnsi="Liberation Sans" w:eastAsia="Microsoft YaHei" w:cs="Mangal"/>
      <w:b/>
      <w:bCs/>
      <w:sz w:val="32"/>
      <w:szCs w:val="32"/>
      <w:lang w:val="ru-RU" w:eastAsia="zh-CN"/>
    </w:rPr>
  </w:style>
  <w:style w:type="character" w:styleId="3" w:customStyle="1">
    <w:name w:val="Заголовок 3 Знак"/>
    <w:link w:val="3"/>
    <w:qFormat/>
    <w:rsid w:val="00860173"/>
    <w:rPr>
      <w:rFonts w:ascii="Liberation Sans" w:hAnsi="Liberation Sans" w:eastAsia="Microsoft YaHei" w:cs="Mangal"/>
      <w:b/>
      <w:bCs/>
      <w:sz w:val="28"/>
      <w:szCs w:val="28"/>
      <w:lang w:val="ru-RU" w:eastAsia="zh-CN"/>
    </w:rPr>
  </w:style>
  <w:style w:type="character" w:styleId="Style14" w:customStyle="1">
    <w:name w:val="Заголовок Знак"/>
    <w:link w:val="af1"/>
    <w:qFormat/>
    <w:rsid w:val="00860173"/>
    <w:rPr>
      <w:rFonts w:ascii="Liberation Sans" w:hAnsi="Liberation Sans" w:eastAsia="Microsoft YaHei" w:cs="Mangal"/>
      <w:b/>
      <w:bCs/>
      <w:sz w:val="56"/>
      <w:szCs w:val="56"/>
      <w:lang w:val="ru-RU" w:eastAsia="zh-CN"/>
    </w:rPr>
  </w:style>
  <w:style w:type="character" w:styleId="Style15" w:customStyle="1">
    <w:name w:val="Основной текст Знак"/>
    <w:link w:val="a1"/>
    <w:qFormat/>
    <w:rsid w:val="00860173"/>
    <w:rPr>
      <w:sz w:val="24"/>
      <w:szCs w:val="24"/>
      <w:lang w:val="ru-RU" w:eastAsia="zh-CN"/>
    </w:rPr>
  </w:style>
  <w:style w:type="character" w:styleId="12" w:customStyle="1">
    <w:name w:val="Верхний колонтитул Знак1"/>
    <w:link w:val="ac"/>
    <w:qFormat/>
    <w:rsid w:val="00860173"/>
    <w:rPr>
      <w:sz w:val="24"/>
      <w:szCs w:val="24"/>
      <w:lang w:val="ru-RU" w:eastAsia="zh-CN"/>
    </w:rPr>
  </w:style>
  <w:style w:type="character" w:styleId="13" w:customStyle="1">
    <w:name w:val="Нижний колонтитул Знак1"/>
    <w:link w:val="ad"/>
    <w:qFormat/>
    <w:rsid w:val="00860173"/>
    <w:rPr>
      <w:sz w:val="24"/>
      <w:szCs w:val="24"/>
      <w:lang w:val="ru-RU" w:eastAsia="zh-CN"/>
    </w:rPr>
  </w:style>
  <w:style w:type="character" w:styleId="Style16" w:customStyle="1">
    <w:name w:val="Подзаголовок Знак"/>
    <w:link w:val="af3"/>
    <w:qFormat/>
    <w:rsid w:val="00860173"/>
    <w:rPr>
      <w:rFonts w:ascii="Liberation Sans" w:hAnsi="Liberation Sans" w:eastAsia="Microsoft YaHei" w:cs="Mangal"/>
      <w:sz w:val="36"/>
      <w:szCs w:val="36"/>
      <w:lang w:val="ru-RU"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9"/>
    <w:rsid w:val="00975e02"/>
    <w:pPr>
      <w:spacing w:lineRule="auto" w:line="288" w:before="0" w:after="140"/>
    </w:pPr>
    <w:rPr/>
  </w:style>
  <w:style w:type="paragraph" w:styleId="List">
    <w:name w:val="List"/>
    <w:basedOn w:val="TextBody"/>
    <w:rsid w:val="00975e02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TextBody"/>
    <w:qFormat/>
    <w:rsid w:val="00975e02"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1">
    <w:name w:val="caption"/>
    <w:basedOn w:val="Normal"/>
    <w:uiPriority w:val="35"/>
    <w:qFormat/>
    <w:rsid w:val="00975e02"/>
    <w:pPr>
      <w:suppressLineNumbers/>
      <w:spacing w:before="120" w:after="120"/>
    </w:pPr>
    <w:rPr>
      <w:rFonts w:cs="Mangal"/>
      <w:i/>
      <w:iCs/>
    </w:rPr>
  </w:style>
  <w:style w:type="paragraph" w:styleId="14" w:customStyle="1">
    <w:name w:val="Указатель1"/>
    <w:basedOn w:val="Normal"/>
    <w:qFormat/>
    <w:rsid w:val="00975e02"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13"/>
    <w:rsid w:val="00975e0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14"/>
    <w:rsid w:val="00975e0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7" w:customStyle="1">
    <w:name w:val="Содержимое таблицы"/>
    <w:basedOn w:val="Normal"/>
    <w:qFormat/>
    <w:rsid w:val="00975e02"/>
    <w:pPr>
      <w:suppressLineNumbers/>
    </w:pPr>
    <w:rPr/>
  </w:style>
  <w:style w:type="paragraph" w:styleId="Style18" w:customStyle="1">
    <w:name w:val="Заголовок таблицы"/>
    <w:basedOn w:val="Style17"/>
    <w:qFormat/>
    <w:rsid w:val="00975e02"/>
    <w:pPr>
      <w:jc w:val="center"/>
    </w:pPr>
    <w:rPr>
      <w:b/>
      <w:bCs/>
    </w:rPr>
  </w:style>
  <w:style w:type="paragraph" w:styleId="Style19" w:customStyle="1">
    <w:name w:val="Блочная цитата"/>
    <w:basedOn w:val="Normal"/>
    <w:qFormat/>
    <w:rsid w:val="00975e02"/>
    <w:pPr>
      <w:spacing w:before="0" w:after="283"/>
      <w:ind w:left="567" w:right="567" w:hanging="0"/>
    </w:pPr>
    <w:rPr/>
  </w:style>
  <w:style w:type="paragraph" w:styleId="Style20">
    <w:name w:val="Название"/>
    <w:basedOn w:val="Title"/>
    <w:next w:val="TextBody"/>
    <w:link w:val="af2"/>
    <w:qFormat/>
    <w:rsid w:val="00975e02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itle"/>
    <w:next w:val="TextBody"/>
    <w:link w:val="af4"/>
    <w:qFormat/>
    <w:rsid w:val="00975e02"/>
    <w:pPr>
      <w:spacing w:before="60" w:after="120"/>
      <w:jc w:val="center"/>
    </w:pPr>
    <w:rPr>
      <w:sz w:val="36"/>
      <w:szCs w:val="36"/>
    </w:rPr>
  </w:style>
  <w:style w:type="paragraph" w:styleId="BalloonText">
    <w:name w:val="Balloon Text"/>
    <w:basedOn w:val="Normal"/>
    <w:link w:val="af6"/>
    <w:uiPriority w:val="99"/>
    <w:semiHidden/>
    <w:unhideWhenUsed/>
    <w:qFormat/>
    <w:rsid w:val="00ae2f0f"/>
    <w:pPr/>
    <w:rPr>
      <w:rFonts w:ascii="Tahoma" w:hAnsi="Tahoma"/>
      <w:sz w:val="16"/>
      <w:szCs w:val="16"/>
      <w:lang w:val="x-none"/>
    </w:rPr>
  </w:style>
  <w:style w:type="paragraph" w:styleId="Revision">
    <w:name w:val="Revision"/>
    <w:uiPriority w:val="99"/>
    <w:semiHidden/>
    <w:qFormat/>
    <w:rsid w:val="007a2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ConsPlusNormal" w:customStyle="1">
    <w:name w:val="ConsPlusNormal"/>
    <w:qFormat/>
    <w:rsid w:val="00a106a7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Table Grid"/>
    <w:basedOn w:val="a3"/>
    <w:uiPriority w:val="59"/>
    <w:rsid w:val="006f1d15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kko.by/" TargetMode="External"/><Relationship Id="rId3" Type="http://schemas.openxmlformats.org/officeDocument/2006/relationships/hyperlink" Target="http://www.skko.by/" TargetMode="External"/><Relationship Id="rId4" Type="http://schemas.openxmlformats.org/officeDocument/2006/relationships/hyperlink" Target="http://www.skko.by/" TargetMode="External"/><Relationship Id="rId5" Type="http://schemas.openxmlformats.org/officeDocument/2006/relationships/hyperlink" Target="http://www.skko.by/" TargetMode="External"/><Relationship Id="rId6" Type="http://schemas.openxmlformats.org/officeDocument/2006/relationships/hyperlink" Target="http://www.skko.by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LibreOffice/7.0.3.1$Windows_X86_64 LibreOffice_project/d7547858d014d4cf69878db179d326fc3483e082</Application>
  <Pages>8</Pages>
  <Words>4404</Words>
  <Characters>30295</Characters>
  <CharactersWithSpaces>34572</CharactersWithSpaces>
  <Paragraphs>202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2022-06-15T08:41:00Z</dcterms:created>
  <dc:creator>Krivodubskaya</dc:creator>
  <dc:description/>
  <dc:language>en-GB</dc:language>
  <cp:lastModifiedBy/>
  <cp:lastPrinted>2020-02-13T14:49:00Z</cp:lastPrinted>
  <dcterms:modified xsi:type="dcterms:W3CDTF">2022-06-15T12:03:36Z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