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70" w:type="dxa"/>
        <w:jc w:val="left"/>
        <w:tblInd w:w="-2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4"/>
        <w:gridCol w:w="1279"/>
        <w:gridCol w:w="1519"/>
        <w:gridCol w:w="1315"/>
        <w:gridCol w:w="1178"/>
        <w:gridCol w:w="1367"/>
        <w:gridCol w:w="1227"/>
      </w:tblGrid>
      <w:tr>
        <w:trPr>
          <w:trHeight w:val="406" w:hRule="atLeast"/>
        </w:trPr>
        <w:tc>
          <w:tcPr>
            <w:tcW w:w="986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/>
              </w:rPr>
              <w:t xml:space="preserve">Реквизиты для оплаты услуги </w:t>
            </w:r>
          </w:p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«Регистрация программной кассы»</w:t>
            </w:r>
          </w:p>
        </w:tc>
      </w:tr>
      <w:tr>
        <w:trPr>
          <w:trHeight w:val="760" w:hRule="atLeast"/>
        </w:trPr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/>
              </w:rPr>
              <w:t>Плательщик:</w:t>
            </w:r>
          </w:p>
        </w:tc>
        <w:tc>
          <w:tcPr>
            <w:tcW w:w="2798" w:type="dxa"/>
            <w:gridSpan w:val="2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/>
              </w:rPr>
              <w:t>Получатель: 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  <w:tc>
          <w:tcPr>
            <w:tcW w:w="3772" w:type="dxa"/>
            <w:gridSpan w:val="3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/>
              </w:rPr>
              <w:t>Республиканское унитарное предприятие «Информационно-издательский центр по налогам и сборам»</w:t>
            </w:r>
          </w:p>
        </w:tc>
      </w:tr>
      <w:tr>
        <w:trPr>
          <w:trHeight w:val="300" w:hRule="atLeast"/>
        </w:trPr>
        <w:tc>
          <w:tcPr>
            <w:tcW w:w="4782" w:type="dxa"/>
            <w:gridSpan w:val="3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/>
              </w:rPr>
              <w:t>Банковские реквизиты: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  <w:tc>
          <w:tcPr>
            <w:tcW w:w="5087" w:type="dxa"/>
            <w:gridSpan w:val="4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>Республика Беларусь, 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>220005, г.Минск, пр. Машерова, 7-123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>Тел.: +375 17 2691800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>УНП 190819036, ОКПО377174025000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>р/с №BY86AKBB30120000049980000000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 xml:space="preserve">ОАО «АСБ Беларусбанк» ЦБУ №510, 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>г.Минск ул.Куйбышева,18</w:t>
            </w:r>
          </w:p>
          <w:p>
            <w:pPr>
              <w:pStyle w:val="Normal"/>
              <w:widowControl w:val="false"/>
              <w:spacing w:lineRule="auto" w:line="240" w:before="0" w:after="0"/>
              <w:ind w:right="-108" w:hanging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val="ru-RU"/>
              </w:rPr>
              <w:t>БИК AKBBBY2X</w:t>
            </w:r>
          </w:p>
        </w:tc>
      </w:tr>
      <w:tr>
        <w:trPr>
          <w:trHeight w:val="300" w:hRule="atLeast"/>
        </w:trPr>
        <w:tc>
          <w:tcPr>
            <w:tcW w:w="478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  <w:tc>
          <w:tcPr>
            <w:tcW w:w="5087" w:type="dxa"/>
            <w:gridSpan w:val="4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478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  <w:tc>
          <w:tcPr>
            <w:tcW w:w="5087" w:type="dxa"/>
            <w:gridSpan w:val="4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</w:tr>
      <w:tr>
        <w:trPr>
          <w:trHeight w:val="300" w:hRule="atLeast"/>
        </w:trPr>
        <w:tc>
          <w:tcPr>
            <w:tcW w:w="4782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  <w:tc>
          <w:tcPr>
            <w:tcW w:w="5087" w:type="dxa"/>
            <w:gridSpan w:val="4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</w:tr>
      <w:tr>
        <w:trPr>
          <w:trHeight w:val="380" w:hRule="atLeast"/>
        </w:trPr>
        <w:tc>
          <w:tcPr>
            <w:tcW w:w="4782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  <w:tc>
          <w:tcPr>
            <w:tcW w:w="5087" w:type="dxa"/>
            <w:gridSpan w:val="4"/>
            <w:vMerge w:val="continue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eastAsia="Times New Roman" w:cs="Times New Roman"/>
                <w:lang w:val="ru-RU"/>
              </w:rPr>
            </w:pPr>
            <w:r>
              <w:rPr>
                <w:rFonts w:eastAsia="Times New Roman" w:cs="Times New Roman" w:ascii="Times New Roman" w:hAnsi="Times New Roman"/>
                <w:lang w:val="ru-RU"/>
              </w:rPr>
            </w:r>
          </w:p>
        </w:tc>
      </w:tr>
      <w:tr>
        <w:trPr/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Наименование оказываемой услуги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Единица измерения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Количество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Стоимость услуги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без НДС, руб.коп.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Ставка НДС, %</w:t>
            </w:r>
          </w:p>
        </w:tc>
        <w:tc>
          <w:tcPr>
            <w:tcW w:w="1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Сумма НДС, руб.коп.</w:t>
            </w:r>
          </w:p>
        </w:tc>
        <w:tc>
          <w:tcPr>
            <w:tcW w:w="1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Всего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с НДС, руб.коп.</w:t>
            </w:r>
          </w:p>
        </w:tc>
      </w:tr>
      <w:tr>
        <w:trPr>
          <w:trHeight w:val="1160" w:hRule="atLeast"/>
        </w:trPr>
        <w:tc>
          <w:tcPr>
            <w:tcW w:w="198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highlight w:val="white"/>
                <w:lang w:val="ru-RU"/>
              </w:rPr>
              <w:t>Регистрация программной кассы в СККО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Код назначения платежа 21101</w:t>
            </w:r>
          </w:p>
        </w:tc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/>
              </w:rPr>
              <w:t>ПК</w:t>
            </w:r>
          </w:p>
        </w:tc>
        <w:tc>
          <w:tcPr>
            <w:tcW w:w="151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{quantity}</w:t>
            </w:r>
          </w:p>
        </w:tc>
        <w:tc>
          <w:tcPr>
            <w:tcW w:w="13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{skko_connection[price]}</w:t>
            </w:r>
          </w:p>
        </w:tc>
        <w:tc>
          <w:tcPr>
            <w:tcW w:w="11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{skko_connection[tax]}</w:t>
            </w:r>
          </w:p>
        </w:tc>
        <w:tc>
          <w:tcPr>
            <w:tcW w:w="13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hd w:fill="FFFFFF" w:val="clear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hd w:fill="FFFFFF" w:val="clear"/>
              </w:rPr>
              <w:t>{skko_connection[tax_total]}</w:t>
            </w:r>
          </w:p>
        </w:tc>
        <w:tc>
          <w:tcPr>
            <w:tcW w:w="12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{skko_connection[total]}</w:t>
            </w:r>
          </w:p>
        </w:tc>
      </w:tr>
      <w:tr>
        <w:trPr/>
        <w:tc>
          <w:tcPr>
            <w:tcW w:w="986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ru-RU"/>
              </w:rPr>
              <w:t>Цена согласно прейскуранту от 30.04.2019 №3-10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2"/>
        <w:jc w:val="both"/>
        <w:textAlignment w:val="top"/>
        <w:outlineLvl w:val="0"/>
        <w:rPr>
          <w:rFonts w:ascii="Times New Roman" w:hAnsi="Times New Roman" w:eastAsia="Times New Roman" w:cs="Times New Roman"/>
          <w:i/>
          <w:i/>
          <w:lang w:val="ru-RU" w:eastAsia="ru-RU"/>
        </w:rPr>
      </w:pPr>
      <w:r>
        <w:rPr>
          <w:rFonts w:eastAsia="Times New Roman" w:cs="Times New Roman" w:ascii="Times New Roman" w:hAnsi="Times New Roman"/>
          <w:i/>
          <w:lang w:val="ru-RU"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2"/>
        <w:jc w:val="center"/>
        <w:textAlignment w:val="top"/>
        <w:outlineLvl w:val="0"/>
        <w:rPr>
          <w:rFonts w:ascii="Times New Roman" w:hAnsi="Times New Roman" w:eastAsia="Times New Roman" w:cs="Times New Roman"/>
          <w:i/>
          <w:i/>
          <w:lang w:val="ru-RU" w:eastAsia="ru-RU"/>
        </w:rPr>
      </w:pPr>
      <w:r>
        <w:rPr>
          <w:rFonts w:eastAsia="Times New Roman" w:cs="Times New Roman" w:ascii="Times New Roman" w:hAnsi="Times New Roman"/>
          <w:i/>
          <w:position w:val="-1"/>
          <w:lang w:val="ru-RU" w:eastAsia="ru-RU"/>
        </w:rPr>
        <w:t>Согласно п.4.8. публичного договора СККО оказание услуг выполняется по предоплате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2"/>
        <w:jc w:val="center"/>
        <w:textAlignment w:val="top"/>
        <w:outlineLvl w:val="0"/>
        <w:rPr>
          <w:rFonts w:ascii="Times New Roman" w:hAnsi="Times New Roman" w:eastAsia="Times New Roman" w:cs="Times New Roman"/>
          <w:i/>
          <w:i/>
          <w:lang w:val="ru-RU" w:eastAsia="ru-RU"/>
        </w:rPr>
      </w:pPr>
      <w:r>
        <w:rPr>
          <w:rFonts w:eastAsia="Times New Roman" w:cs="Times New Roman" w:ascii="Times New Roman" w:hAnsi="Times New Roman"/>
          <w:i/>
          <w:position w:val="-1"/>
          <w:lang w:val="ru-RU" w:eastAsia="ru-RU"/>
        </w:rPr>
        <w:t xml:space="preserve"> </w:t>
      </w:r>
      <w:r>
        <w:rPr>
          <w:rFonts w:eastAsia="Times New Roman" w:cs="Times New Roman" w:ascii="Times New Roman" w:hAnsi="Times New Roman"/>
          <w:i/>
          <w:position w:val="-1"/>
          <w:lang w:val="ru-RU" w:eastAsia="ru-RU"/>
        </w:rPr>
        <w:t>за 6 месяцев или 12 месяцев</w:t>
      </w:r>
    </w:p>
    <w:tbl>
      <w:tblPr>
        <w:tblW w:w="9870" w:type="dxa"/>
        <w:jc w:val="left"/>
        <w:tblInd w:w="-29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126"/>
        <w:gridCol w:w="1421"/>
        <w:gridCol w:w="1556"/>
        <w:gridCol w:w="1400"/>
        <w:gridCol w:w="1050"/>
        <w:gridCol w:w="1198"/>
        <w:gridCol w:w="1118"/>
      </w:tblGrid>
      <w:tr>
        <w:trPr>
          <w:trHeight w:val="200" w:hRule="atLeast"/>
        </w:trPr>
        <w:tc>
          <w:tcPr>
            <w:tcW w:w="986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hanging="2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val="ru-RU" w:eastAsia="ru-RU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u w:val="singl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u w:val="single"/>
                <w:lang w:val="ru-RU" w:eastAsia="ru-RU"/>
              </w:rPr>
              <w:t>Стоимость услуги при оплате за 6 месяцев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hanging="2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  <w:lang w:val="ru-RU" w:eastAsia="ru-RU"/>
              </w:rPr>
            </w:r>
          </w:p>
        </w:tc>
      </w:tr>
      <w:tr>
        <w:trPr/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>Наименование оказываемой услуги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>Единица измерения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 xml:space="preserve">Количество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-6"/>
                <w:position w:val="-1"/>
                <w:lang w:val="ru-RU" w:eastAsia="ru-RU"/>
              </w:rPr>
              <w:t>программных касс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 xml:space="preserve">Стоимость услуги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 xml:space="preserve">без НДС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>за 6 мес., руб.коп.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>Ставка НДС, %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 xml:space="preserve">Сумма НДС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>за 6 мес., руб.коп.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>Всего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 xml:space="preserve">с НДС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position w:val="-1"/>
                <w:lang w:val="ru-RU" w:eastAsia="ru-RU"/>
              </w:rPr>
              <w:t>за 6 мес., руб.коп.</w:t>
            </w:r>
          </w:p>
        </w:tc>
      </w:tr>
      <w:tr>
        <w:trPr>
          <w:trHeight w:val="1160" w:hRule="atLeast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-1"/>
                <w:highlight w:val="white"/>
                <w:lang w:val="ru-RU" w:eastAsia="ru-RU"/>
              </w:rPr>
              <w:t>Информационное обслуживание пользователя программной кассы</w:t>
            </w:r>
            <w:r>
              <w:rPr>
                <w:rFonts w:eastAsia="Times New Roman" w:cs="Times New Roman" w:ascii="Times New Roman" w:hAnsi="Times New Roman"/>
                <w:color w:val="000000"/>
                <w:position w:val="-1"/>
                <w:lang w:val="ru-RU" w:eastAsia="ru-RU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position w:val="-1"/>
                <w:lang w:val="ru-RU" w:eastAsia="ru-RU"/>
              </w:rPr>
              <w:t>за 6 месяцев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Код назначения платежа 21201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color w:val="000000"/>
                <w:highlight w:val="yellow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position w:val="-1"/>
                <w:lang w:val="ru-RU" w:eastAsia="ru-RU"/>
              </w:rPr>
              <w:t>ПК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{quantity}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{skko_tariff_6[price]}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{skko_tariff_6[tax]}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{skko_tariff_6[tax_total]}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{skko_tariff_6[total]}</w:t>
            </w:r>
          </w:p>
        </w:tc>
      </w:tr>
      <w:tr>
        <w:trPr/>
        <w:tc>
          <w:tcPr>
            <w:tcW w:w="9869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hanging="2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16"/>
                <w:szCs w:val="16"/>
                <w:lang w:val="ru-RU" w:eastAsia="ru-RU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u w:val="single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u w:val="single"/>
                <w:lang w:val="ru-RU" w:eastAsia="ru-RU"/>
              </w:rPr>
              <w:t>Стоимость услуги при оплате за 12 месяцев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76" w:before="0" w:after="0"/>
              <w:ind w:hanging="2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16"/>
                <w:szCs w:val="16"/>
                <w:lang w:val="ru-RU" w:eastAsia="ru-RU"/>
              </w:rPr>
            </w:r>
          </w:p>
        </w:tc>
      </w:tr>
      <w:tr>
        <w:trPr/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>Наименование оказываемой услуги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>Единица измерения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pacing w:val="-10"/>
                <w:position w:val="-1"/>
                <w:lang w:val="ru-RU" w:eastAsia="ru-RU"/>
              </w:rPr>
              <w:t xml:space="preserve">Количество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pacing w:val="-6"/>
                <w:position w:val="-1"/>
                <w:lang w:val="ru-RU" w:eastAsia="ru-RU"/>
              </w:rPr>
              <w:t>программных касс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>Стоимость услуги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 xml:space="preserve">без НДС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>за 12 мес., руб.коп.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>Ставка НДС, %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 xml:space="preserve">Сумма НДС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>за 12 мес., руб.коп.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>Всего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b/>
                <w:b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 xml:space="preserve">с НДС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position w:val="-1"/>
                <w:lang w:val="ru-RU" w:eastAsia="ru-RU"/>
              </w:rPr>
              <w:t>за 12 мес., руб.коп.</w:t>
            </w:r>
          </w:p>
        </w:tc>
      </w:tr>
      <w:tr>
        <w:trPr>
          <w:trHeight w:val="480" w:hRule="atLeast"/>
        </w:trPr>
        <w:tc>
          <w:tcPr>
            <w:tcW w:w="21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both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position w:val="-1"/>
                <w:highlight w:val="white"/>
                <w:lang w:val="ru-RU" w:eastAsia="ru-RU"/>
              </w:rPr>
              <w:t>Информационное обслуживание пользователя программной кассы</w:t>
            </w:r>
            <w:r>
              <w:rPr>
                <w:rFonts w:eastAsia="Times New Roman" w:cs="Times New Roman" w:ascii="Times New Roman" w:hAnsi="Times New Roman"/>
                <w:position w:val="-1"/>
                <w:lang w:val="ru-RU" w:eastAsia="ru-RU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both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position w:val="-1"/>
                <w:lang w:val="ru-RU" w:eastAsia="ru-RU"/>
              </w:rPr>
              <w:t>за 12 месяцев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both"/>
              <w:textAlignment w:val="top"/>
              <w:outlineLvl w:val="0"/>
              <w:rPr>
                <w:rFonts w:ascii="Times New Roman" w:hAnsi="Times New Roman" w:eastAsia="Times New Roman" w:cs="Times New Roman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lang w:val="ru-RU"/>
              </w:rPr>
              <w:t>Код назначения платежа 21201</w:t>
            </w:r>
          </w:p>
        </w:tc>
        <w:tc>
          <w:tcPr>
            <w:tcW w:w="142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tLeast" w:line="1" w:before="0" w:after="0"/>
              <w:ind w:hanging="2"/>
              <w:jc w:val="center"/>
              <w:textAlignment w:val="top"/>
              <w:outlineLvl w:val="0"/>
              <w:rPr>
                <w:rFonts w:ascii="Times New Roman" w:hAnsi="Times New Roman" w:eastAsia="Times New Roman" w:cs="Times New Roman"/>
                <w:highlight w:val="yellow"/>
                <w:lang w:val="ru-RU" w:eastAsia="ru-RU"/>
              </w:rPr>
            </w:pPr>
            <w:r>
              <w:rPr>
                <w:rFonts w:eastAsia="Times New Roman" w:cs="Times New Roman" w:ascii="Times New Roman" w:hAnsi="Times New Roman"/>
                <w:position w:val="-1"/>
                <w:lang w:val="ru-RU" w:eastAsia="ru-RU"/>
              </w:rPr>
              <w:t>ПК</w:t>
            </w:r>
          </w:p>
        </w:tc>
        <w:tc>
          <w:tcPr>
            <w:tcW w:w="155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{quantity}</w:t>
            </w:r>
          </w:p>
        </w:tc>
        <w:tc>
          <w:tcPr>
            <w:tcW w:w="1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{skko_tariff_12[price]}</w:t>
            </w:r>
          </w:p>
        </w:tc>
        <w:tc>
          <w:tcPr>
            <w:tcW w:w="10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{skko_tariff_12[tax]}</w:t>
            </w:r>
          </w:p>
        </w:tc>
        <w:tc>
          <w:tcPr>
            <w:tcW w:w="11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val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{skko_tariff_12[tax_total]}</w:t>
            </w:r>
          </w:p>
        </w:tc>
        <w:tc>
          <w:tcPr>
            <w:tcW w:w="111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{T12TOTAL}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0" w:after="0"/>
        <w:ind w:hanging="2"/>
        <w:textAlignment w:val="top"/>
        <w:outlineLvl w:val="0"/>
        <w:rPr>
          <w:rFonts w:ascii="Times New Roman" w:hAnsi="Times New Roman" w:eastAsia="Times New Roman" w:cs="Times New Roman"/>
          <w:lang w:val="ru-RU" w:eastAsia="ru-RU"/>
        </w:rPr>
      </w:pPr>
      <w:r>
        <w:rPr>
          <w:rFonts w:eastAsia="Times New Roman" w:cs="Times New Roman" w:ascii="Times New Roman" w:hAnsi="Times New Roman"/>
          <w:lang w:val="ru-RU" w:eastAsia="ru-RU"/>
        </w:rPr>
      </w:r>
    </w:p>
    <w:p>
      <w:pPr>
        <w:pStyle w:val="Normal"/>
        <w:spacing w:lineRule="auto" w:line="240" w:before="0" w:after="0"/>
        <w:rPr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Вс</w:t>
      </w:r>
      <w:bookmarkStart w:id="0" w:name="_GoBack"/>
      <w:bookmarkEnd w:id="0"/>
      <w:r>
        <w:rPr>
          <w:rFonts w:eastAsia="Times New Roman" w:cs="Times New Roman" w:ascii="Times New Roman" w:hAnsi="Times New Roman"/>
          <w:lang w:val="ru-RU"/>
        </w:rPr>
        <w:t xml:space="preserve">я необходимая информация на web-сайтах </w:t>
      </w:r>
      <w:hyperlink r:id="rId2">
        <w:r>
          <w:rPr>
            <w:rStyle w:val="InternetLink"/>
            <w:rFonts w:eastAsia="Times New Roman" w:cs="Times New Roman" w:ascii="Times New Roman" w:hAnsi="Times New Roman"/>
            <w:lang w:val="ru-RU"/>
          </w:rPr>
          <w:t>https://skko.by</w:t>
        </w:r>
      </w:hyperlink>
      <w:r>
        <w:rPr>
          <w:rFonts w:eastAsia="Times New Roman" w:cs="Times New Roman" w:ascii="Times New Roman" w:hAnsi="Times New Roman"/>
          <w:lang w:val="ru-RU"/>
        </w:rPr>
        <w:t>; https://info-center.by</w:t>
      </w:r>
    </w:p>
    <w:sectPr>
      <w:type w:val="nextPage"/>
      <w:pgSz w:w="12240" w:h="15840"/>
      <w:pgMar w:left="1440" w:right="850" w:header="0" w:top="720" w:footer="0" w:bottom="284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0a1633"/>
    <w:rPr>
      <w:color w:val="0563C1" w:themeColor="hyperlink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0a1633"/>
    <w:rPr/>
  </w:style>
  <w:style w:type="character" w:styleId="Style15" w:customStyle="1">
    <w:name w:val="Нижний колонтитул Знак"/>
    <w:basedOn w:val="DefaultParagraphFont"/>
    <w:uiPriority w:val="99"/>
    <w:qFormat/>
    <w:rsid w:val="000a1633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0a163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0a1633"/>
    <w:pPr>
      <w:tabs>
        <w:tab w:val="clear" w:pos="720"/>
        <w:tab w:val="center" w:pos="4844" w:leader="none"/>
        <w:tab w:val="right" w:pos="9689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ko.by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4FC773-2E48-47FD-9D7F-A2B64951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LibreOffice/7.0.3.1$Windows_X86_64 LibreOffice_project/d7547858d014d4cf69878db179d326fc3483e082</Application>
  <Pages>2</Pages>
  <Words>224</Words>
  <Characters>1656</Characters>
  <CharactersWithSpaces>1816</CharactersWithSpaces>
  <Paragraphs>79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2021-07-30T08:46:00Z</dcterms:created>
  <dc:creator>ArtemM</dc:creator>
  <dc:description/>
  <dc:language>en-GB</dc:language>
  <cp:lastModifiedBy/>
  <dcterms:modified xsi:type="dcterms:W3CDTF">2022-08-05T12:45:44Z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