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Financial concepts taught by the movie Moneyball.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Behavioural Bias:</w:t>
      </w:r>
    </w:p>
    <w:p>
      <w:pPr>
        <w:pStyle w:val="Body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Instead of relying on data, scouts focussed on subjective opinions, which might or might not work due to emotions involved. This can be applied directly to finance.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ROI</w:t>
      </w:r>
    </w:p>
    <w:p>
      <w:pPr>
        <w:pStyle w:val="Body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Instead of focusing on ROI, most scouts focused on </w:t>
      </w:r>
      <w:r>
        <w:rPr>
          <w:sz w:val="28"/>
          <w:szCs w:val="28"/>
          <w:rtl w:val="0"/>
          <w:lang w:val="en-US"/>
        </w:rPr>
        <w:t xml:space="preserve">the </w:t>
      </w:r>
      <w:r>
        <w:rPr>
          <w:sz w:val="28"/>
          <w:szCs w:val="28"/>
          <w:rtl w:val="0"/>
          <w:lang w:val="en-US"/>
        </w:rPr>
        <w:t>hype around a player, while Billy Beane focused on how much a player contributes relative to his salary, which is really relatable to finance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Fundamentals</w:t>
      </w:r>
    </w:p>
    <w:p>
      <w:pPr>
        <w:pStyle w:val="Body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Instead of being swayed by </w:t>
      </w:r>
      <w:r>
        <w:rPr>
          <w:sz w:val="28"/>
          <w:szCs w:val="28"/>
          <w:rtl w:val="0"/>
          <w:lang w:val="en-US"/>
        </w:rPr>
        <w:t>names</w:t>
      </w:r>
      <w:r>
        <w:rPr>
          <w:sz w:val="28"/>
          <w:szCs w:val="28"/>
          <w:rtl w:val="0"/>
          <w:lang w:val="en-US"/>
        </w:rPr>
        <w:t>, the focus was on measurable contributions (e.g., on-base percentage). Similarly, in finance, the lesson is to prioritize strong financial fundamentals</w:t>
      </w:r>
      <w:r>
        <w:rPr>
          <w:sz w:val="28"/>
          <w:szCs w:val="28"/>
          <w:rtl w:val="0"/>
          <w:lang w:val="en-US"/>
        </w:rPr>
        <w:t>—</w:t>
      </w:r>
      <w:r>
        <w:rPr>
          <w:sz w:val="28"/>
          <w:szCs w:val="28"/>
          <w:rtl w:val="0"/>
          <w:lang w:val="en-US"/>
        </w:rPr>
        <w:t>like cash flow, profitability, and growth potential</w:t>
      </w:r>
      <w:r>
        <w:rPr>
          <w:sz w:val="28"/>
          <w:szCs w:val="28"/>
          <w:rtl w:val="0"/>
          <w:lang w:val="en-US"/>
        </w:rPr>
        <w:t>—</w:t>
      </w:r>
      <w:r>
        <w:rPr>
          <w:sz w:val="28"/>
          <w:szCs w:val="28"/>
          <w:rtl w:val="0"/>
          <w:lang w:val="en-US"/>
        </w:rPr>
        <w:t>over speculative factors.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Market Inefficiencies</w:t>
      </w:r>
    </w:p>
    <w:p>
      <w:pPr>
        <w:pStyle w:val="Body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The baseball world undervalued certain players because of traditional metrics. In finance, this parallels the idea of inefficient markets where some assets </w:t>
      </w:r>
      <w:r>
        <w:rPr>
          <w:sz w:val="28"/>
          <w:szCs w:val="28"/>
          <w:rtl w:val="0"/>
          <w:lang w:val="en-US"/>
        </w:rPr>
        <w:t xml:space="preserve">like </w:t>
      </w:r>
      <w:r>
        <w:rPr>
          <w:sz w:val="28"/>
          <w:szCs w:val="28"/>
          <w:rtl w:val="0"/>
          <w:lang w:val="en-US"/>
        </w:rPr>
        <w:t>stocks, bonds, or businesses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are underpriced due to overlooked qualities or misjudged potential.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2070934</wp:posOffset>
            </wp:positionH>
            <wp:positionV relativeFrom="line">
              <wp:posOffset>328099</wp:posOffset>
            </wp:positionV>
            <wp:extent cx="2937117" cy="3450670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17" cy="3450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</w:pPr>
      <w:r>
        <w:rPr>
          <w:sz w:val="24"/>
          <w:szCs w:val="24"/>
          <w:rtl w:val="0"/>
          <w:lang w:val="en-US"/>
        </w:rPr>
        <w:t xml:space="preserve"> 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