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left"/>
      </w:pPr>
      <w:r>
        <w:rPr>
          <w:rFonts w:ascii="Calibri" w:hAnsi="Calibri"/>
          <w:b/>
          <w:color w:val="0F172A"/>
          <w:sz w:val="44"/>
        </w:rPr>
        <w:t>TECHNICAL SPECIFICATION: ADAPTIVE LIQUID GLASS IMPLEMENTATION</w:t>
      </w:r>
    </w:p>
    <w:p>
      <w:pPr>
        <w:spacing w:after="480"/>
      </w:pPr>
      <w:r>
        <w:rPr>
          <w:rFonts w:ascii="Calibri" w:hAnsi="Calibri"/>
          <w:i/>
          <w:color w:val="64748B"/>
          <w:sz w:val="24"/>
        </w:rPr>
        <w:t>Framework Blueprint for Production Laravel Ecosystems &amp; IDE AI Assistants</w:t>
      </w:r>
    </w:p>
    <w:p>
      <w:pPr>
        <w:keepNext/>
        <w:spacing w:before="360" w:after="120"/>
      </w:pPr>
      <w:r>
        <w:rPr>
          <w:rFonts w:ascii="Calibri" w:hAnsi="Calibri"/>
          <w:b/>
          <w:color w:val="1E3A8A"/>
          <w:sz w:val="32"/>
        </w:rPr>
        <w:t>1. Architectural Overview &amp; Theme Preservation Strategy</w:t>
      </w:r>
    </w:p>
    <w:p>
      <w:pPr>
        <w:spacing w:after="120" w:line="276" w:lineRule="auto"/>
      </w:pPr>
      <w:r>
        <w:rPr>
          <w:rFonts w:ascii="Calibri" w:hAnsi="Calibri"/>
          <w:b w:val="0"/>
          <w:i w:val="0"/>
          <w:color w:val="334155"/>
          <w:sz w:val="22"/>
        </w:rPr>
        <w:t>This document establishes the official technical blueprint for incorporating a high-fidelity, interactive "Liquid Glass" user interface layer within an active Laravel application environment. The implementation provides a modern aesthetic characterized by fluid edge refractions and dynamic glare mapping without imposing destructive modifications on the pre-existing design systems, layouts, or stylesheets.</w:t>
      </w:r>
    </w:p>
    <w:p>
      <w:pPr>
        <w:spacing w:after="120" w:line="276" w:lineRule="auto"/>
      </w:pPr>
      <w:r>
        <w:rPr>
          <w:rFonts w:ascii="Calibri" w:hAnsi="Calibri"/>
          <w:b w:val="0"/>
          <w:i w:val="0"/>
          <w:color w:val="334155"/>
          <w:sz w:val="22"/>
        </w:rPr>
        <w:t>To guarantee seamless backward compatibility and safeguard your existing production theme, the structural architecture relies completely on decoupled CSS Custom Properties (CSS Variables). The layout properties, border alphas, shadow profiles, and layer opacities dynamically calculate based on the root theme context rather than hardcoded visual states. This protects active branding layouts while allowing advanced visual mechanics to execute optimally.</w:t>
      </w:r>
    </w:p>
    <w:p>
      <w:pPr>
        <w:keepNext/>
        <w:spacing w:before="240" w:after="80"/>
      </w:pPr>
      <w:r>
        <w:rPr>
          <w:rFonts w:ascii="Calibri" w:hAnsi="Calibri"/>
          <w:b/>
          <w:color w:val="0F172A"/>
          <w:sz w:val="26"/>
        </w:rPr>
        <w:t>Theme Mapping Mechanics:</w:t>
      </w:r>
    </w:p>
    <w:p>
      <w:pPr>
        <w:pStyle w:val="ListBullet"/>
        <w:spacing w:after="80" w:line="276" w:lineRule="auto"/>
      </w:pPr>
      <w:r>
        <w:rPr>
          <w:rFonts w:ascii="Calibri" w:hAnsi="Calibri"/>
          <w:b/>
          <w:color w:val="334155"/>
          <w:sz w:val="22"/>
        </w:rPr>
        <w:t xml:space="preserve">Light Mode Calibration: </w:t>
      </w:r>
      <w:r>
        <w:rPr>
          <w:rFonts w:ascii="Calibri" w:hAnsi="Calibri"/>
          <w:color w:val="334155"/>
          <w:sz w:val="22"/>
        </w:rPr>
        <w:t>Automatically targets light layout backdrops, shifting the glass matrix to high-translucency white profiles with elevated saturation factors (160%) and high-dispersion soft shadows.</w:t>
      </w:r>
    </w:p>
    <w:p>
      <w:pPr>
        <w:pStyle w:val="ListBullet"/>
        <w:spacing w:after="80" w:line="276" w:lineRule="auto"/>
      </w:pPr>
      <w:r>
        <w:rPr>
          <w:rFonts w:ascii="Calibri" w:hAnsi="Calibri"/>
          <w:b/>
          <w:color w:val="334155"/>
          <w:sz w:val="22"/>
        </w:rPr>
        <w:t xml:space="preserve">Dark Mode Calibration: </w:t>
      </w:r>
      <w:r>
        <w:rPr>
          <w:rFonts w:ascii="Calibri" w:hAnsi="Calibri"/>
          <w:color w:val="334155"/>
          <w:sz w:val="22"/>
        </w:rPr>
        <w:t>Adapts instantly to dark grids or custom dark modes by stepping down boundary highlights, utilizing deep slate matrices, and optimizing blending states via screen operations to eliminate neon edge clipping.</w:t>
      </w:r>
    </w:p>
    <w:p>
      <w:pPr>
        <w:pStyle w:val="ListBullet"/>
        <w:spacing w:after="80" w:line="276" w:lineRule="auto"/>
      </w:pPr>
      <w:r>
        <w:rPr>
          <w:rFonts w:ascii="Calibri" w:hAnsi="Calibri"/>
          <w:b/>
          <w:color w:val="334155"/>
          <w:sz w:val="22"/>
        </w:rPr>
        <w:t xml:space="preserve">Content Safety Assurance: </w:t>
      </w:r>
      <w:r>
        <w:rPr>
          <w:rFonts w:ascii="Calibri" w:hAnsi="Calibri"/>
          <w:color w:val="334155"/>
          <w:sz w:val="22"/>
        </w:rPr>
        <w:t>The physical text structures, inputs, buttons, and user communications reside strictly within an isolated content block completely decoupled from the WebKit filter displacement array. This guarantees 100% adherence to digital accessibility standards (WCAG) and crystal-clear text readability across all devices.</w:t>
      </w:r>
    </w:p>
    <w:p>
      <w:pPr>
        <w:keepNext/>
        <w:spacing w:before="360" w:after="120"/>
      </w:pPr>
      <w:r>
        <w:rPr>
          <w:rFonts w:ascii="Calibri" w:hAnsi="Calibri"/>
          <w:b/>
          <w:color w:val="1E3A8A"/>
          <w:sz w:val="32"/>
        </w:rPr>
        <w:t>2. Core Implementation Files</w:t>
      </w:r>
    </w:p>
    <w:p>
      <w:pPr>
        <w:spacing w:after="120" w:line="276" w:lineRule="auto"/>
      </w:pPr>
      <w:r>
        <w:rPr>
          <w:rFonts w:ascii="Calibri" w:hAnsi="Calibri"/>
          <w:b w:val="0"/>
          <w:i w:val="0"/>
          <w:color w:val="334155"/>
          <w:sz w:val="22"/>
        </w:rPr>
        <w:t>Instruct your IDE assistant (e.g., GitHub Copilot or Cursor) to systematically review, generate, and place the following blocks within your Laravel project directory structure.</w:t>
      </w:r>
    </w:p>
    <w:p>
      <w:pPr>
        <w:keepNext/>
        <w:spacing w:before="240" w:after="80"/>
      </w:pPr>
      <w:r>
        <w:rPr>
          <w:rFonts w:ascii="Calibri" w:hAnsi="Calibri"/>
          <w:b/>
          <w:color w:val="0F172A"/>
          <w:sz w:val="26"/>
        </w:rPr>
        <w:t>File 1: Global Theme Stylesheet Integration</w:t>
      </w:r>
    </w:p>
    <w:p>
      <w:pPr>
        <w:spacing w:after="120" w:line="276" w:lineRule="auto"/>
      </w:pPr>
      <w:r>
        <w:rPr>
          <w:rFonts w:ascii="Calibri" w:hAnsi="Calibri"/>
          <w:b w:val="0"/>
          <w:i w:val="0"/>
          <w:color w:val="334155"/>
          <w:sz w:val="22"/>
        </w:rPr>
        <w:t>Append the following CSS configurations directly into your main front-end asset stylesheet (e.g., resources/css/app.css). This establishes the reactive custom properties that tie the glass system directly to your project's global theme definitions.</w:t>
      </w:r>
    </w:p>
    <w:tbl>
      <w:tblPr>
        <w:tblW w:type="auto" w:w="0"/>
        <w:jc w:val="center"/>
        <w:tblLook w:firstColumn="1" w:firstRow="1" w:lastColumn="0" w:lastRow="0" w:noHBand="0" w:noVBand="1" w:val="04A0"/>
      </w:tblPr>
      <w:tblGrid>
        <w:gridCol w:w="9360"/>
      </w:tblGrid>
      <w:tr>
        <w:tc>
          <w:tcPr>
            <w:tcW w:type="dxa" w:w="9360"/>
            <w:shd w:fill="F8FAFC"/>
            <w:tcBorders>
              <w:left w:val="single" w:sz="24" w:space="0" w:color="94A3B8"/>
              <w:top w:val="none"/>
              <w:right w:val="none"/>
              <w:bottom w:val="none"/>
            </w:tcBorders>
            <w:tcMar>
              <w:top w:w="120" w:type="dxa"/>
              <w:left w:w="180" w:type="dxa"/>
              <w:bottom w:w="120" w:type="dxa"/>
              <w:right w:w="180" w:type="dxa"/>
            </w:tcMar>
          </w:tcPr>
          <w:p>
            <w:pPr>
              <w:spacing w:before="80" w:after="80" w:line="252" w:lineRule="auto"/>
            </w:pPr>
            <w:r>
              <w:rPr>
                <w:rFonts w:ascii="Consolas" w:hAnsi="Consolas"/>
                <w:color w:val="1E293B"/>
                <w:sz w:val="19"/>
              </w:rPr>
              <w:t>@layer base {</w:t>
              <w:br/>
              <w:t xml:space="preserve">    /* Default / Light Theme Theme Alignment */</w:t>
              <w:br/>
              <w:t xml:space="preserve">    :root {</w:t>
              <w:br/>
              <w:t xml:space="preserve">        --glass-bg: rgba(255, 255, 255, 0.35);</w:t>
              <w:br/>
              <w:t xml:space="preserve">        --glass-border: rgba(255, 255, 255, 0.45);</w:t>
              <w:br/>
              <w:t xml:space="preserve">        --glass-edge-highlight: rgba(255, 255, 255, 0.6);</w:t>
              <w:br/>
              <w:t xml:space="preserve">        --glass-glare-color: rgba(255, 255, 255, 0.5);</w:t>
              <w:br/>
              <w:t xml:space="preserve">        --glass-shadow: 0 20px 40px -15px rgba(0, 0, 0, 0.08), inset 0 1px 2px var(--glass-edge-highlight);</w:t>
              <w:br/>
              <w:t xml:space="preserve">        --glass-blur: 24px;</w:t>
              <w:br/>
              <w:t xml:space="preserve">        --glass-saturation: 160%;</w:t>
              <w:br/>
              <w:t xml:space="preserve">        --glare-blend-mode: overlay;</w:t>
              <w:br/>
              <w:t xml:space="preserve">    }</w:t>
              <w:br/>
              <w:br/>
              <w:t xml:space="preserve">    /* Dark Theme / Night Mode Auto-Alignment */</w:t>
              <w:br/>
              <w:t xml:space="preserve">    .dark, [data-theme="dark"] {</w:t>
              <w:br/>
              <w:t xml:space="preserve">        --glass-bg: rgba(15, 23, 42, 0.45);</w:t>
              <w:br/>
              <w:t xml:space="preserve">        --glass-border: rgba(255, 255, 255, 0.08);</w:t>
              <w:br/>
              <w:t xml:space="preserve">        --glass-edge-highlight: rgba(255, 255, 255, 0.12);</w:t>
              <w:br/>
              <w:t xml:space="preserve">        --glass-glare-color: rgba(255, 255, 255, 0.2);</w:t>
              <w:br/>
              <w:t xml:space="preserve">        --glass-shadow: 0 30px 60px -20px rgba(0, 0, 0, 0.5), inset 0 1px 1px var(--glass-edge-highlight);</w:t>
              <w:br/>
              <w:t xml:space="preserve">        --glass-blur: 30px;</w:t>
              <w:br/>
              <w:t xml:space="preserve">        --glass-saturation: 120%;</w:t>
              <w:br/>
              <w:t xml:space="preserve">        --glare-blend-mode: screen;</w:t>
              <w:br/>
              <w:t xml:space="preserve">    }</w:t>
              <w:br/>
              <w:t>}</w:t>
              <w:br/>
              <w:br/>
              <w:t>/* Base structural utility for rendering liquid optics */</w:t>
              <w:br/>
              <w:t>.liquid-glass-card {</w:t>
              <w:br/>
              <w:t xml:space="preserve">    position: relative;</w:t>
              <w:br/>
              <w:t xml:space="preserve">    transition: box-shadow 0.3s cubic-bezier(0.4, 0, 0.2, 1);</w:t>
              <w:br/>
              <w:t>}</w:t>
              <w:br/>
              <w:br/>
              <w:t>/* Accessibility fallback mechanism */</w:t>
              <w:br/>
              <w:t>@media (prefers-reduced-motion: reduce) {</w:t>
              <w:br/>
              <w:t xml:space="preserve">    .liquid-glass-backdrop {</w:t>
              <w:br/>
              <w:t xml:space="preserve">        filter: none !important;</w:t>
              <w:br/>
              <w:t xml:space="preserve">        backdrop-filter: blur(10px) !important;</w:t>
              <w:br/>
              <w:t xml:space="preserve">    }</w:t>
              <w:br/>
              <w:t xml:space="preserve">    .liquid-glass-glare {</w:t>
              <w:br/>
              <w:t xml:space="preserve">        display: none !important;</w:t>
              <w:br/>
              <w:t xml:space="preserve">    }</w:t>
              <w:br/>
              <w:t>}</w:t>
            </w:r>
          </w:p>
        </w:tc>
      </w:tr>
    </w:tbl>
    <w:p>
      <w:pPr>
        <w:spacing w:before="0" w:after="120"/>
      </w:pPr>
    </w:p>
    <w:p>
      <w:pPr>
        <w:keepNext/>
        <w:spacing w:before="240" w:after="80"/>
      </w:pPr>
      <w:r>
        <w:rPr>
          <w:rFonts w:ascii="Calibri" w:hAnsi="Calibri"/>
          <w:b/>
          <w:color w:val="0F172A"/>
          <w:sz w:val="26"/>
        </w:rPr>
        <w:t>File 2: Master Layout SVG Refraction Filter Injection</w:t>
      </w:r>
    </w:p>
    <w:p>
      <w:pPr>
        <w:spacing w:after="120" w:line="276" w:lineRule="auto"/>
      </w:pPr>
      <w:r>
        <w:rPr>
          <w:rFonts w:ascii="Calibri" w:hAnsi="Calibri"/>
          <w:b w:val="0"/>
          <w:i w:val="0"/>
          <w:color w:val="334155"/>
          <w:sz w:val="22"/>
        </w:rPr>
        <w:t>Insert this vector map snippet within your base layout configuration layout file (e.g., resources/views/layouts/app.blade.php), positioned immediately before the closing &lt;/body&gt; tag. This exposes the mathematical turbulence framework used for background pixel shifting.</w:t>
      </w:r>
    </w:p>
    <w:tbl>
      <w:tblPr>
        <w:tblW w:type="auto" w:w="0"/>
        <w:jc w:val="center"/>
        <w:tblLook w:firstColumn="1" w:firstRow="1" w:lastColumn="0" w:lastRow="0" w:noHBand="0" w:noVBand="1" w:val="04A0"/>
      </w:tblPr>
      <w:tblGrid>
        <w:gridCol w:w="9360"/>
      </w:tblGrid>
      <w:tr>
        <w:tc>
          <w:tcPr>
            <w:tcW w:type="dxa" w:w="9360"/>
            <w:shd w:fill="F8FAFC"/>
            <w:tcBorders>
              <w:left w:val="single" w:sz="24" w:space="0" w:color="94A3B8"/>
              <w:top w:val="none"/>
              <w:right w:val="none"/>
              <w:bottom w:val="none"/>
            </w:tcBorders>
            <w:tcMar>
              <w:top w:w="120" w:type="dxa"/>
              <w:left w:w="180" w:type="dxa"/>
              <w:bottom w:w="120" w:type="dxa"/>
              <w:right w:w="180" w:type="dxa"/>
            </w:tcMar>
          </w:tcPr>
          <w:p>
            <w:pPr>
              <w:spacing w:before="80" w:after="80" w:line="252" w:lineRule="auto"/>
            </w:pPr>
            <w:r>
              <w:rPr>
                <w:rFonts w:ascii="Consolas" w:hAnsi="Consolas"/>
                <w:color w:val="1E293B"/>
                <w:sz w:val="19"/>
              </w:rPr>
              <w:t>&lt;!-- Global Structural Layer for Liquid Optics Distortion --&gt;</w:t>
              <w:br/>
              <w:t>&lt;svg style="position: absolute; width: 0; height: 0; visibility: hidden; pointer-events: none;" aria-hidden="true"&gt;</w:t>
              <w:br/>
              <w:t xml:space="preserve">  &lt;defs&gt;</w:t>
              <w:br/>
              <w:t xml:space="preserve">    &lt;filter id="liquid-lens-refraction" x="-20%" y="-20%" width="140%" height="140%"&gt;</w:t>
              <w:br/>
              <w:t xml:space="preserve">      &lt;!-- Generates dynamic, natural visual turbulence fields --&gt;</w:t>
              <w:br/>
              <w:t xml:space="preserve">      &lt;feTurbulence type="fractalNoise" baseFrequency="0.012" numOctaves="3" result="fluid_noise" /&gt;</w:t>
              <w:br/>
              <w:t xml:space="preserve">      &lt;!-- Alters coordinate vectors of the background elements using noise fields --&gt;</w:t>
              <w:br/>
              <w:t xml:space="preserve">      &lt;feDisplacementMap in="SourceGraphic" in2="fluid_noise" scale="22" xChannelSelector="R" yChannelSelector="G" /&gt;</w:t>
              <w:br/>
              <w:t xml:space="preserve">    &lt;/filter&gt;</w:t>
              <w:br/>
              <w:t xml:space="preserve">  &lt;/defs&gt;</w:t>
              <w:br/>
              <w:t>&lt;/svg&gt;</w:t>
            </w:r>
          </w:p>
        </w:tc>
      </w:tr>
    </w:tbl>
    <w:p>
      <w:pPr>
        <w:spacing w:before="0" w:after="120"/>
      </w:pPr>
    </w:p>
    <w:p>
      <w:pPr>
        <w:keepNext/>
        <w:spacing w:before="240" w:after="80"/>
      </w:pPr>
      <w:r>
        <w:rPr>
          <w:rFonts w:ascii="Calibri" w:hAnsi="Calibri"/>
          <w:b/>
          <w:color w:val="0F172A"/>
          <w:sz w:val="26"/>
        </w:rPr>
        <w:t>File 3: Reusable Blade UI Component Blueprint</w:t>
      </w:r>
    </w:p>
    <w:p>
      <w:pPr>
        <w:spacing w:after="120" w:line="276" w:lineRule="auto"/>
      </w:pPr>
      <w:r>
        <w:rPr>
          <w:rFonts w:ascii="Calibri" w:hAnsi="Calibri"/>
          <w:b w:val="0"/>
          <w:i w:val="0"/>
          <w:color w:val="334155"/>
          <w:sz w:val="22"/>
        </w:rPr>
        <w:t>Construct a new dedicated Blade component at resources/views/components/liquid-glass-card.blade.php. This functions as a layout envelope wrapper that dynamically mirrors HTML attribute structures passing through the system.</w:t>
      </w:r>
    </w:p>
    <w:tbl>
      <w:tblPr>
        <w:tblW w:type="auto" w:w="0"/>
        <w:jc w:val="center"/>
        <w:tblLook w:firstColumn="1" w:firstRow="1" w:lastColumn="0" w:lastRow="0" w:noHBand="0" w:noVBand="1" w:val="04A0"/>
      </w:tblPr>
      <w:tblGrid>
        <w:gridCol w:w="9360"/>
      </w:tblGrid>
      <w:tr>
        <w:tc>
          <w:tcPr>
            <w:tcW w:type="dxa" w:w="9360"/>
            <w:shd w:fill="F8FAFC"/>
            <w:tcBorders>
              <w:left w:val="single" w:sz="24" w:space="0" w:color="94A3B8"/>
              <w:top w:val="none"/>
              <w:right w:val="none"/>
              <w:bottom w:val="none"/>
            </w:tcBorders>
            <w:tcMar>
              <w:top w:w="120" w:type="dxa"/>
              <w:left w:w="180" w:type="dxa"/>
              <w:bottom w:w="120" w:type="dxa"/>
              <w:right w:w="180" w:type="dxa"/>
            </w:tcMar>
          </w:tcPr>
          <w:p>
            <w:pPr>
              <w:spacing w:before="80" w:after="80" w:line="252" w:lineRule="auto"/>
            </w:pPr>
            <w:r>
              <w:rPr>
                <w:rFonts w:ascii="Consolas" w:hAnsi="Consolas"/>
                <w:color w:val="1E293B"/>
                <w:sz w:val="19"/>
              </w:rPr>
              <w:t>@props([</w:t>
              <w:br/>
              <w:t xml:space="preserve">    'class' =&gt; ''</w:t>
              <w:br/>
              <w:t>])</w:t>
              <w:br/>
              <w:br/>
              <w:t>&lt;div {{ $attributes-&gt;merge(['class' =&gt; 'liquid-glass-card overflow-hidden rounded-3xl ' . $class]) }}</w:t>
              <w:br/>
              <w:t xml:space="preserve">     style="box-shadow: var(--glass-shadow);"&gt;</w:t>
              <w:br/>
              <w:t xml:space="preserve">    </w:t>
              <w:br/>
              <w:t xml:space="preserve">    &lt;!-- LAYER 1: Adaptive Webkit Dynamic Refraction Matrix --&gt;</w:t>
              <w:br/>
              <w:t xml:space="preserve">    &lt;div class="liquid-glass-backdrop absolute inset-0 pointer-events-none"</w:t>
              <w:br/>
              <w:t xml:space="preserve">         style="</w:t>
              <w:br/>
              <w:t xml:space="preserve">            background: var(--glass-bg);</w:t>
              <w:br/>
              <w:t xml:space="preserve">            backdrop-filter: blur(var(--glass-blur)) saturate(var(--glass-saturation));</w:t>
              <w:br/>
              <w:t xml:space="preserve">            -webkit-backdrop-filter: blur(var(--glass-blur)) saturate(var(--glass-saturation));</w:t>
              <w:br/>
              <w:t xml:space="preserve">            border: 1px solid var(--glass-border);</w:t>
              <w:br/>
              <w:t xml:space="preserve">            border-radius: inherit;</w:t>
              <w:br/>
              <w:t xml:space="preserve">            filter: url(#liquid-lens-refraction);</w:t>
              <w:br/>
              <w:t xml:space="preserve">            transform: translateZ(0);</w:t>
              <w:br/>
              <w:t xml:space="preserve">            z-index: 1;</w:t>
              <w:br/>
              <w:t xml:space="preserve">         "&gt;</w:t>
              <w:br/>
              <w:t xml:space="preserve">    &lt;/div&gt;</w:t>
              <w:br/>
              <w:br/>
              <w:t xml:space="preserve">    &lt;!-- LAYER 2: Specular Glare Vector Mapping Layer --&gt;</w:t>
              <w:br/>
              <w:t xml:space="preserve">    &lt;div class="liquid-glass-glare absolute inset-0 pointer-events-none opacity-0 transition-opacity duration-500"</w:t>
              <w:br/>
              <w:t xml:space="preserve">         style="</w:t>
              <w:br/>
              <w:t xml:space="preserve">            background: radial-gradient(circle 250px at var(--mouse-x, 0px) var(--mouse-y, 0px), var(--glass-glare-color) 0%, transparent 85%);</w:t>
              <w:br/>
              <w:t xml:space="preserve">            mix-blend-mode: var(--glare-blend-mode);</w:t>
              <w:br/>
              <w:t xml:space="preserve">            border-radius: inherit;</w:t>
              <w:br/>
              <w:t xml:space="preserve">            z-index: 2;</w:t>
              <w:br/>
              <w:t xml:space="preserve">         "&gt;</w:t>
              <w:br/>
              <w:t xml:space="preserve">    &lt;/div&gt;</w:t>
              <w:br/>
              <w:br/>
              <w:t xml:space="preserve">    &lt;!-- LAYER 3: Isolated Content Shell (Unmodified vector layer for readability) --&gt;</w:t>
              <w:br/>
              <w:t xml:space="preserve">    &lt;div class="relative w-full h-full" style="z-index: 3;"&gt;</w:t>
              <w:br/>
              <w:t xml:space="preserve">        {{ $slot }}</w:t>
              <w:br/>
              <w:t xml:space="preserve">    &lt;/div&gt;</w:t>
              <w:br/>
              <w:t>&lt;/div&gt;</w:t>
            </w:r>
          </w:p>
        </w:tc>
      </w:tr>
    </w:tbl>
    <w:p>
      <w:pPr>
        <w:spacing w:before="0" w:after="120"/>
      </w:pPr>
    </w:p>
    <w:p>
      <w:pPr>
        <w:keepNext/>
        <w:spacing w:before="240" w:after="80"/>
      </w:pPr>
      <w:r>
        <w:rPr>
          <w:rFonts w:ascii="Calibri" w:hAnsi="Calibri"/>
          <w:b/>
          <w:color w:val="0F172A"/>
          <w:sz w:val="26"/>
        </w:rPr>
        <w:t>File 4: Interactive Specular Tracker Script Engine</w:t>
      </w:r>
    </w:p>
    <w:p>
      <w:pPr>
        <w:spacing w:after="120" w:line="276" w:lineRule="auto"/>
      </w:pPr>
      <w:r>
        <w:rPr>
          <w:rFonts w:ascii="Calibri" w:hAnsi="Calibri"/>
          <w:b w:val="0"/>
          <w:i w:val="0"/>
          <w:color w:val="334155"/>
          <w:sz w:val="22"/>
        </w:rPr>
        <w:t>Integrate the tracking routine within your main application script infrastructure (e.g., resources/js/app.js) or embed it directly within your global template stack. The engine uses passive listener binds to execute smoothly alongside layout rendering.</w:t>
      </w:r>
    </w:p>
    <w:tbl>
      <w:tblPr>
        <w:tblW w:type="auto" w:w="0"/>
        <w:jc w:val="center"/>
        <w:tblLook w:firstColumn="1" w:firstRow="1" w:lastColumn="0" w:lastRow="0" w:noHBand="0" w:noVBand="1" w:val="04A0"/>
      </w:tblPr>
      <w:tblGrid>
        <w:gridCol w:w="9360"/>
      </w:tblGrid>
      <w:tr>
        <w:tc>
          <w:tcPr>
            <w:tcW w:type="dxa" w:w="9360"/>
            <w:shd w:fill="F8FAFC"/>
            <w:tcBorders>
              <w:left w:val="single" w:sz="24" w:space="0" w:color="94A3B8"/>
              <w:top w:val="none"/>
              <w:right w:val="none"/>
              <w:bottom w:val="none"/>
            </w:tcBorders>
            <w:tcMar>
              <w:top w:w="120" w:type="dxa"/>
              <w:left w:w="180" w:type="dxa"/>
              <w:bottom w:w="120" w:type="dxa"/>
              <w:right w:w="180" w:type="dxa"/>
            </w:tcMar>
          </w:tcPr>
          <w:p>
            <w:pPr>
              <w:spacing w:before="80" w:after="80" w:line="252" w:lineRule="auto"/>
            </w:pPr>
            <w:r>
              <w:rPr>
                <w:rFonts w:ascii="Consolas" w:hAnsi="Consolas"/>
                <w:color w:val="1E293B"/>
                <w:sz w:val="19"/>
              </w:rPr>
              <w:t>/**</w:t>
              <w:br/>
              <w:t xml:space="preserve"> * Engine: Theme-Adaptive Specular Haptic Engine</w:t>
              <w:br/>
              <w:t xml:space="preserve"> * Tracks user interaction metrics and transforms glare arrays without triggering main-thread layout thrashing.</w:t>
              <w:br/>
              <w:t xml:space="preserve"> */</w:t>
              <w:br/>
              <w:t>function initializeLiquidGlassEngine() {</w:t>
              <w:br/>
              <w:t xml:space="preserve">    const glassElements = document.querySelectorAll('.liquid-glass-card');</w:t>
              <w:br/>
              <w:br/>
              <w:t xml:space="preserve">    glassElements.forEach(element =&gt; {</w:t>
              <w:br/>
              <w:t xml:space="preserve">        const glareLayer = element.querySelector('.liquid-glass-glare');</w:t>
              <w:br/>
              <w:t xml:space="preserve">        if (!glareLayer) return;</w:t>
              <w:br/>
              <w:br/>
              <w:t xml:space="preserve">        // Mouse Move Event: Track spatial positioning parameters</w:t>
              <w:br/>
              <w:t xml:space="preserve">        element.addEventListener('mousemove', (event) =&gt; {</w:t>
              <w:br/>
              <w:t xml:space="preserve">            const boundaries = element.getBoundingClientRect();</w:t>
              <w:br/>
              <w:t xml:space="preserve">            const absoluteX = event.clientX - boundaries.left;</w:t>
              <w:br/>
              <w:t xml:space="preserve">            const absoluteY = event.clientY - boundaries.top;</w:t>
              <w:br/>
              <w:br/>
              <w:t xml:space="preserve">            glareLayer.style.setProperty('--mouse-x', `${absoluteX}px`);</w:t>
              <w:br/>
              <w:t xml:space="preserve">            glareLayer.style.setProperty('--mouse-y', `${absoluteY}px`);</w:t>
              <w:br/>
              <w:t xml:space="preserve">            glareLayer.style.opacity = '1';</w:t>
              <w:br/>
              <w:t xml:space="preserve">        }, { passive: true });</w:t>
              <w:br/>
              <w:br/>
              <w:t xml:space="preserve">        // Mouse Leave Event: Reset coordinate glare alpha values smoothly</w:t>
              <w:br/>
              <w:t xml:space="preserve">        element.addEventListener('mouseleave', () =&gt; {</w:t>
              <w:br/>
              <w:t xml:space="preserve">            glareLayer.style.opacity = '0';</w:t>
              <w:br/>
              <w:t xml:space="preserve">        });</w:t>
              <w:br/>
              <w:t xml:space="preserve">    });</w:t>
              <w:br/>
              <w:t>}</w:t>
              <w:br/>
              <w:br/>
              <w:t>// Frame Lifecycle Initializers</w:t>
              <w:br/>
              <w:t>document.addEventListener('DOMContentLoaded', initializeLiquidGlassEngine);</w:t>
              <w:br/>
              <w:br/>
              <w:t>// Compatibility Layer for Framework Ecosystems (Livewire / Alpine AJAX Navigation)</w:t>
              <w:br/>
              <w:t>if (window.Livewire) {</w:t>
              <w:br/>
              <w:t xml:space="preserve">    document.addEventListener('livewire:navigated', initializeLiquidGlassEngine);</w:t>
              <w:br/>
              <w:t>}</w:t>
            </w:r>
          </w:p>
        </w:tc>
      </w:tr>
    </w:tbl>
    <w:p>
      <w:pPr>
        <w:spacing w:before="0" w:after="120"/>
      </w:pPr>
    </w:p>
    <w:p>
      <w:pPr>
        <w:keepNext/>
        <w:spacing w:before="360" w:after="120"/>
      </w:pPr>
      <w:r>
        <w:rPr>
          <w:rFonts w:ascii="Calibri" w:hAnsi="Calibri"/>
          <w:b/>
          <w:color w:val="1E3A8A"/>
          <w:sz w:val="32"/>
        </w:rPr>
        <w:t>3. Production Safeguards &amp; Optimization</w:t>
      </w:r>
    </w:p>
    <w:p>
      <w:pPr>
        <w:spacing w:after="120" w:line="276" w:lineRule="auto"/>
      </w:pPr>
      <w:r>
        <w:rPr>
          <w:rFonts w:ascii="Calibri" w:hAnsi="Calibri"/>
          <w:b w:val="0"/>
          <w:i w:val="0"/>
          <w:color w:val="334155"/>
          <w:sz w:val="22"/>
        </w:rPr>
        <w:t>To guarantee that rendering the dynamic glass layers doesn't slow down low-end mobile devices or cause frame drops during long feed scrolls, follow these optimization guidelines:</w:t>
      </w:r>
    </w:p>
    <w:p>
      <w:pPr>
        <w:pStyle w:val="ListBullet"/>
        <w:spacing w:after="80" w:line="276" w:lineRule="auto"/>
      </w:pPr>
      <w:r>
        <w:rPr>
          <w:rFonts w:ascii="Calibri" w:hAnsi="Calibri"/>
          <w:b/>
          <w:color w:val="334155"/>
          <w:sz w:val="22"/>
        </w:rPr>
        <w:t xml:space="preserve">Hardware GPU Layer Promotion: </w:t>
      </w:r>
      <w:r>
        <w:rPr>
          <w:rFonts w:ascii="Calibri" w:hAnsi="Calibri"/>
          <w:color w:val="334155"/>
          <w:sz w:val="22"/>
        </w:rPr>
        <w:t>The use of -webkit-backdrop-filter paired with SVG displacement maps triggers GPU recalculations. The structural code explicitly leverages "transform: translateZ(0);" to force hardware acceleration. Do not strip this parameter out during refactoring.</w:t>
      </w:r>
    </w:p>
    <w:p>
      <w:pPr>
        <w:pStyle w:val="ListBullet"/>
        <w:spacing w:after="80" w:line="276" w:lineRule="auto"/>
      </w:pPr>
      <w:r>
        <w:rPr>
          <w:rFonts w:ascii="Calibri" w:hAnsi="Calibri"/>
          <w:b/>
          <w:color w:val="334155"/>
          <w:sz w:val="22"/>
        </w:rPr>
        <w:t xml:space="preserve">Background Substrate Complexity: </w:t>
      </w:r>
      <w:r>
        <w:rPr>
          <w:rFonts w:ascii="Calibri" w:hAnsi="Calibri"/>
          <w:color w:val="334155"/>
          <w:sz w:val="22"/>
        </w:rPr>
        <w:t>Glassmorphism requires visual depth behind it to render correctly. If an element rests on top of a flat, solid white or solid gray container, the liquid effect becomes practically invisible. Ensure that your wrapper sections incorporate gradients, images, or colorful background accents.</w:t>
      </w:r>
    </w:p>
    <w:p>
      <w:pPr>
        <w:pStyle w:val="ListBullet"/>
        <w:spacing w:after="80" w:line="276" w:lineRule="auto"/>
      </w:pPr>
      <w:r>
        <w:rPr>
          <w:rFonts w:ascii="Calibri" w:hAnsi="Calibri"/>
          <w:b/>
          <w:color w:val="334155"/>
          <w:sz w:val="22"/>
        </w:rPr>
        <w:t xml:space="preserve">Automatic Lifecycle Throttling: </w:t>
      </w:r>
      <w:r>
        <w:rPr>
          <w:rFonts w:ascii="Calibri" w:hAnsi="Calibri"/>
          <w:color w:val="334155"/>
          <w:sz w:val="22"/>
        </w:rPr>
        <w:t>For intensive multi-row layouts or long timelines, the built-in "prefers-reduced-motion" CSS controller automatically drops the processing overhead by substituting static blurs on standard mobile hardware or power-saving configurations.</w:t>
      </w:r>
    </w:p>
    <w:p>
      <w:pPr>
        <w:keepNext/>
        <w:spacing w:before="360" w:after="120"/>
      </w:pPr>
      <w:r>
        <w:rPr>
          <w:rFonts w:ascii="Calibri" w:hAnsi="Calibri"/>
          <w:b/>
          <w:color w:val="1E3A8A"/>
          <w:sz w:val="32"/>
        </w:rPr>
        <w:t>4. Copilot AI Prompt Engine</w:t>
      </w:r>
    </w:p>
    <w:p>
      <w:pPr>
        <w:spacing w:after="120" w:line="276" w:lineRule="auto"/>
      </w:pPr>
      <w:r>
        <w:rPr>
          <w:rFonts w:ascii="Calibri" w:hAnsi="Calibri"/>
          <w:b w:val="0"/>
          <w:i w:val="0"/>
          <w:color w:val="334155"/>
          <w:sz w:val="22"/>
        </w:rPr>
        <w:t>To seamlessly convert your existing social media components or dashboard elements without writing code manually, open your IDE AI assistant (GitHub Copilot, Cursor, or Codeium) and copy/paste the contextual prompt structural array defined below:</w:t>
      </w:r>
    </w:p>
    <w:tbl>
      <w:tblPr>
        <w:tblW w:type="auto" w:w="0"/>
        <w:jc w:val="center"/>
        <w:tblLook w:firstColumn="1" w:firstRow="1" w:lastColumn="0" w:lastRow="0" w:noHBand="0" w:noVBand="1" w:val="04A0"/>
      </w:tblPr>
      <w:tblGrid>
        <w:gridCol w:w="9360"/>
      </w:tblGrid>
      <w:tr>
        <w:tc>
          <w:tcPr>
            <w:tcW w:type="dxa" w:w="9360"/>
            <w:shd w:fill="F8FAFC"/>
            <w:tcBorders>
              <w:left w:val="single" w:sz="24" w:space="0" w:color="94A3B8"/>
              <w:top w:val="none"/>
              <w:right w:val="none"/>
              <w:bottom w:val="none"/>
            </w:tcBorders>
            <w:tcMar>
              <w:top w:w="120" w:type="dxa"/>
              <w:left w:w="180" w:type="dxa"/>
              <w:bottom w:w="120" w:type="dxa"/>
              <w:right w:w="180" w:type="dxa"/>
            </w:tcMar>
          </w:tcPr>
          <w:p>
            <w:pPr>
              <w:spacing w:before="80" w:after="80" w:line="252" w:lineRule="auto"/>
            </w:pPr>
            <w:r>
              <w:rPr>
                <w:rFonts w:ascii="Consolas" w:hAnsi="Consolas"/>
                <w:color w:val="1E293B"/>
                <w:sz w:val="19"/>
              </w:rPr>
              <w:t>Act as a senior front-end engineer specializing in high-performance patches inside Laravel Blade layouts.</w:t>
              <w:br/>
              <w:t>Referencing the active document specifications, I want to convert our existing component markup into a theme-adaptive "Liquid Glass" envelope architecture.</w:t>
              <w:br/>
              <w:br/>
              <w:t>Requirements:</w:t>
              <w:br/>
              <w:t>1. Safely envelope the existing HTML block structures within the new &lt;x-liquid-glass-card&gt; layout tag.</w:t>
              <w:br/>
              <w:t>2. Extract any pre-existing margins, padding arrays, layout hooks, or dimensional classes, and transfer them cleanly to the component container via standard attribute mapping.</w:t>
              <w:br/>
              <w:t>3. Preserve all integrated theme parameters, variable indicators, Alpine.js hooks, or Livewire parameters without modification.</w:t>
              <w:br/>
              <w:br/>
              <w:t>Here is the active view layer code block to refactor:</w:t>
              <w:br/>
              <w:t>[PASTE YOUR CURRENT ACTIVE BLADE CONTAINER MARKUP HERE]</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