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Pruebas y validación</w:t>
      </w:r>
    </w:p>
    <w:p>
      <w:pPr>
        <w:pStyle w:val="Heading2"/>
      </w:pPr>
      <w:r>
        <w:rPr>
          <w:rFonts w:ascii="Times New Roman" w:hAnsi="Times New Roman"/>
          <w:color w:val="000000"/>
        </w:rPr>
        <w:t>Plan de pruebas</w:t>
      </w:r>
    </w:p>
    <w:p>
      <w:pPr>
        <w:spacing w:line="480" w:lineRule="auto" w:after="0"/>
        <w:ind w:firstLine="709"/>
        <w:jc w:val="both"/>
      </w:pPr>
      <w:r>
        <w:rPr>
          <w:rFonts w:ascii="Times New Roman" w:hAnsi="Times New Roman"/>
          <w:sz w:val="24"/>
        </w:rPr>
        <w:t>El presente plan de pruebas tiene como objetivo principal asegurar la calidad (QA) y el correcto funcionamiento de los módulos críticos del sistema experto de scoring de clientes, enfocándose a nivel de código y de lógica transaccional, sin requerir pruebas operativas en ambientes reales de producción. El alcance abarca la validación de las reglas de negocio del motor de inferencia, la integridad de la base de datos, la seguridad de la aplicación web y la trazabilidad de las operaciones mediante la bitácora de auditoría.</w:t>
      </w:r>
    </w:p>
    <w:p>
      <w:pPr>
        <w:spacing w:line="480" w:lineRule="auto" w:after="0"/>
        <w:ind w:firstLine="709"/>
        <w:jc w:val="both"/>
      </w:pPr>
      <w:r>
        <w:rPr>
          <w:rFonts w:ascii="Times New Roman" w:hAnsi="Times New Roman"/>
          <w:sz w:val="24"/>
        </w:rPr>
        <w:t>El ambiente de pruebas se configuró en una estación de trabajo local con sistema operativo Windows 11, procesador AMD Ryzen y 16 GB de memoria RAM. La arquitectura evaluada corresponde a una aplicación web compuesta por una API REST desarrollada en Flask 3.1 (Python) y una interfaz de usuario tipo SPA construida con React 18 y Vite, con persistencia en SQL Server 2022 mediante el conector pyodbc.</w:t>
      </w:r>
    </w:p>
    <w:p>
      <w:pPr>
        <w:spacing w:line="480" w:lineRule="auto" w:after="0"/>
        <w:ind w:firstLine="709"/>
        <w:jc w:val="both"/>
      </w:pPr>
      <w:r>
        <w:rPr>
          <w:rFonts w:ascii="Times New Roman" w:hAnsi="Times New Roman"/>
          <w:sz w:val="24"/>
        </w:rPr>
        <w:t>Las herramientas utilizadas incluyeron el entorno de desarrollo integrado (IDE) con su depurador para el monitoreo del flujo de ejecución (pruebas manuales sobre la interfaz y sobre los endpoints de la API). Para asegurar la solidez del código mediante pruebas automatizadas se implementó el framework PyTest, el cual permitió estructurar y ejecutar scripts de pruebas unitarias y de integración sobre la lógica de negocio (autenticación, control de roles, motor de reglas y capa de datos). La captura de excepciones esperadas se validó con el bloque pytest.raises, verificando que el sistema controla los errores sin interrumpir la ejecución. Las pruebas se ejecutaron contra una instancia de base de datos de pruebas, garantizando que el entorno de desarrollo principal no sufriera alteraciones.</w:t>
      </w:r>
    </w:p>
    <w:p>
      <w:pPr>
        <w:pStyle w:val="Heading2"/>
      </w:pPr>
      <w:r>
        <w:rPr>
          <w:rFonts w:ascii="Times New Roman" w:hAnsi="Times New Roman"/>
          <w:color w:val="000000"/>
        </w:rPr>
        <w:t>Validación del Modelo de Base de Datos</w:t>
      </w:r>
    </w:p>
    <w:p>
      <w:pPr>
        <w:spacing w:line="480" w:lineRule="auto" w:after="0"/>
        <w:ind w:firstLine="709"/>
        <w:jc w:val="both"/>
      </w:pPr>
      <w:r>
        <w:rPr>
          <w:rFonts w:ascii="Times New Roman" w:hAnsi="Times New Roman"/>
          <w:sz w:val="24"/>
        </w:rPr>
        <w:t>La validación estructural se ejecutó mediante la inserción controlada y eliminación de registros a través de sentencias DML sobre el motor SQL Server, apoyadas por los scripts de automatización de PyTest. Se comprobó que el esquema respeta la Tercera Forma Normal (3FN) y que las restricciones de claves foráneas bloquean correctamente las eliminaciones no autorizadas de registros vinculados (integridad referencial). Por ejemplo, se validó que no es posible eliminar físicamente un cliente que ya posee evaluaciones o documentos asociados, respetando además la política de baja lógica (soft-delete) del sistema mediante el campo estado. Asimismo, se contrastó la estructura física generada contra el Diccionario de Datos, verificando la correspondencia exacta de los tipos de datos y las longitudes máximas permitidas (por ejemplo, num_doc VARCHAR(20), email VARCHAR(150)).</w:t>
      </w:r>
    </w:p>
    <w:p>
      <w:pPr>
        <w:pStyle w:val="Heading2"/>
      </w:pPr>
      <w:r>
        <w:rPr>
          <w:rFonts w:ascii="Times New Roman" w:hAnsi="Times New Roman"/>
          <w:color w:val="000000"/>
        </w:rPr>
        <w:t>Validación de Seguridad</w:t>
      </w:r>
    </w:p>
    <w:p>
      <w:pPr>
        <w:spacing w:line="480" w:lineRule="auto" w:after="0"/>
        <w:ind w:firstLine="709"/>
        <w:jc w:val="both"/>
      </w:pPr>
      <w:r>
        <w:rPr>
          <w:rFonts w:ascii="Times New Roman" w:hAnsi="Times New Roman"/>
          <w:sz w:val="24"/>
        </w:rPr>
        <w:t>Se sometió la capa de seguridad a pruebas de penetración lógica controlada. Se verificó que la aplicación almacena las contraseñas aplicando el algoritmo de cifrado scrypt (a través de werkzeug.security), impidiendo su lectura en texto plano dentro de la base de datos. Las pruebas de roles confirmaron que la API y la interfaz gráfica se adaptan dinámicamente al perfil autenticado: los endpoints protegidos con el decorador roles_required deniegan el acceso (código HTTP 403) cuando un usuario con rol comercial intenta operar sobre módulos administrativos, cumpliendo con el principio de mínimo privilegio. Adicionalmente, se validó el mecanismo de doble factor de autenticación (2FA) basado en TOTP (Google Authenticator), comprobando que el sistema exige un código válido de seis dígitos antes de emitir los tokens de acceso completos (JWT).</w:t>
      </w:r>
    </w:p>
    <w:p>
      <w:pPr>
        <w:pStyle w:val="Heading2"/>
      </w:pPr>
      <w:r>
        <w:rPr>
          <w:rFonts w:ascii="Times New Roman" w:hAnsi="Times New Roman"/>
          <w:color w:val="000000"/>
        </w:rPr>
        <w:t>Validación de Auditoría</w:t>
      </w:r>
    </w:p>
    <w:p>
      <w:pPr>
        <w:spacing w:line="480" w:lineRule="auto" w:after="0"/>
        <w:ind w:firstLine="709"/>
        <w:jc w:val="both"/>
      </w:pPr>
      <w:r>
        <w:rPr>
          <w:rFonts w:ascii="Times New Roman" w:hAnsi="Times New Roman"/>
          <w:sz w:val="24"/>
        </w:rPr>
        <w:t>Para garantizar la trazabilidad de las operaciones se ejecutaron ciclos de alta, baja y modificación de registros. Posteriormente se auditó la tabla auditoria, verificando que el sistema captura con precisión el identificador del usuario, el nombre, la fecha y hora exacta, el tipo de evento, la acción, el resultado (EXITO/FALLO), la dirección IP y, cuando corresponde, los valores anteriores y nuevos del registro afectado. Se comprobó que tanto los eventos de autenticación (LOGIN_EXITOSO, LOGIN_FALLIDO) como los eventos de seguridad (RESET_2FA, CAMBIO_CONTRASENA) quedan registrados de forma automática.</w:t>
      </w:r>
    </w:p>
    <w:p>
      <w:pPr>
        <w:pStyle w:val="Heading2"/>
      </w:pPr>
      <w:r>
        <w:rPr>
          <w:rFonts w:ascii="Times New Roman" w:hAnsi="Times New Roman"/>
          <w:color w:val="000000"/>
        </w:rPr>
        <w:t>Resultados esperados e indicadores</w:t>
      </w:r>
    </w:p>
    <w:p>
      <w:pPr>
        <w:spacing w:line="480" w:lineRule="auto" w:after="0"/>
        <w:ind w:firstLine="709"/>
        <w:jc w:val="both"/>
      </w:pPr>
      <w:r>
        <w:rPr>
          <w:rFonts w:ascii="Times New Roman" w:hAnsi="Times New Roman"/>
          <w:sz w:val="24"/>
        </w:rPr>
        <w:t>A continuación se presentan los resultados obtenidos tras la ejecución de los casos de prueba críticos, evaluando el control de errores internos y contrastando el comportamiento real de la aplicación frente a los criterios de aceptación definidos.</w:t>
      </w:r>
    </w:p>
    <w:p/>
    <w:p>
      <w:r>
        <w:rPr>
          <w:rFonts w:ascii="Times New Roman" w:hAnsi="Times New Roman"/>
          <w:b/>
          <w:sz w:val="24"/>
        </w:rPr>
        <w:t>Tabla 1</w:t>
      </w:r>
    </w:p>
    <w:p>
      <w:pPr>
        <w:spacing w:after="80"/>
      </w:pPr>
      <w:r>
        <w:rPr>
          <w:rFonts w:ascii="Times New Roman" w:hAnsi="Times New Roman"/>
          <w:i/>
          <w:sz w:val="24"/>
        </w:rPr>
        <w:t>Caso de Prueba 1: Restricción de Integridad Referencial</w:t>
      </w:r>
    </w:p>
    <w:tbl>
      <w:tblPr>
        <w:tblStyle w:val="TableGrid"/>
        <w:tblW w:type="auto" w:w="0"/>
        <w:jc w:val="center"/>
        <w:tblLook w:firstColumn="1" w:firstRow="1" w:lastColumn="0" w:lastRow="0" w:noHBand="0" w:noVBand="1" w:val="04A0"/>
      </w:tblPr>
      <w:tblGrid>
        <w:gridCol w:w="4703"/>
        <w:gridCol w:w="4703"/>
      </w:tblGrid>
      <w:tr>
        <w:tc>
          <w:tcPr>
            <w:tcW w:type="dxa" w:w="2268"/>
            <w:shd w:val="clear" w:fill="1E3A5F"/>
          </w:tcPr>
          <w:p>
            <w:r/>
            <w:r>
              <w:rPr>
                <w:rFonts w:ascii="Times New Roman" w:hAnsi="Times New Roman"/>
                <w:b/>
                <w:color w:val="FFFFFF"/>
                <w:sz w:val="22"/>
              </w:rPr>
              <w:t>Elemento</w:t>
            </w:r>
          </w:p>
        </w:tc>
        <w:tc>
          <w:tcPr>
            <w:tcW w:type="dxa" w:w="6803"/>
            <w:shd w:val="clear" w:fill="1E3A5F"/>
          </w:tcPr>
          <w:p>
            <w:r/>
            <w:r>
              <w:rPr>
                <w:rFonts w:ascii="Times New Roman" w:hAnsi="Times New Roman"/>
                <w:b/>
                <w:color w:val="FFFFFF"/>
                <w:sz w:val="22"/>
              </w:rPr>
              <w:t>Descripción</w:t>
            </w:r>
          </w:p>
        </w:tc>
      </w:tr>
      <w:tr>
        <w:tc>
          <w:tcPr>
            <w:tcW w:type="dxa" w:w="2268"/>
          </w:tcPr>
          <w:p>
            <w:r>
              <w:rPr>
                <w:rFonts w:ascii="Times New Roman" w:hAnsi="Times New Roman"/>
                <w:b/>
                <w:sz w:val="22"/>
              </w:rPr>
              <w:t>Identificador</w:t>
            </w:r>
          </w:p>
        </w:tc>
        <w:tc>
          <w:tcPr>
            <w:tcW w:type="dxa" w:w="6803"/>
          </w:tcPr>
          <w:p>
            <w:r>
              <w:rPr>
                <w:rFonts w:ascii="Times New Roman" w:hAnsi="Times New Roman"/>
                <w:sz w:val="22"/>
              </w:rPr>
              <w:t>CP-01</w:t>
            </w:r>
          </w:p>
        </w:tc>
      </w:tr>
      <w:tr>
        <w:tc>
          <w:tcPr>
            <w:tcW w:type="dxa" w:w="2268"/>
          </w:tcPr>
          <w:p>
            <w:r>
              <w:rPr>
                <w:rFonts w:ascii="Times New Roman" w:hAnsi="Times New Roman"/>
                <w:b/>
                <w:sz w:val="22"/>
              </w:rPr>
              <w:t>Nombre</w:t>
            </w:r>
          </w:p>
        </w:tc>
        <w:tc>
          <w:tcPr>
            <w:tcW w:type="dxa" w:w="6803"/>
          </w:tcPr>
          <w:p>
            <w:r>
              <w:rPr>
                <w:rFonts w:ascii="Times New Roman" w:hAnsi="Times New Roman"/>
                <w:sz w:val="22"/>
              </w:rPr>
              <w:t>Eliminación de registro con dependencias activas</w:t>
            </w:r>
          </w:p>
        </w:tc>
      </w:tr>
      <w:tr>
        <w:tc>
          <w:tcPr>
            <w:tcW w:type="dxa" w:w="2268"/>
          </w:tcPr>
          <w:p>
            <w:r>
              <w:rPr>
                <w:rFonts w:ascii="Times New Roman" w:hAnsi="Times New Roman"/>
                <w:b/>
                <w:sz w:val="22"/>
              </w:rPr>
              <w:t>Criterios de Aceptación</w:t>
            </w:r>
          </w:p>
        </w:tc>
        <w:tc>
          <w:tcPr>
            <w:tcW w:type="dxa" w:w="6803"/>
          </w:tcPr>
          <w:p>
            <w:r>
              <w:rPr>
                <w:rFonts w:ascii="Times New Roman" w:hAnsi="Times New Roman"/>
                <w:sz w:val="22"/>
              </w:rPr>
              <w:t>El sistema debe impedir la eliminación de un cliente si este posee evaluaciones o documentos previamente registrados.</w:t>
            </w:r>
          </w:p>
        </w:tc>
      </w:tr>
      <w:tr>
        <w:tc>
          <w:tcPr>
            <w:tcW w:type="dxa" w:w="2268"/>
          </w:tcPr>
          <w:p>
            <w:r>
              <w:rPr>
                <w:rFonts w:ascii="Times New Roman" w:hAnsi="Times New Roman"/>
                <w:b/>
                <w:sz w:val="22"/>
              </w:rPr>
              <w:t>Control de Errores</w:t>
            </w:r>
          </w:p>
        </w:tc>
        <w:tc>
          <w:tcPr>
            <w:tcW w:type="dxa" w:w="6803"/>
          </w:tcPr>
          <w:p>
            <w:r>
              <w:rPr>
                <w:rFonts w:ascii="Times New Roman" w:hAnsi="Times New Roman"/>
                <w:sz w:val="22"/>
              </w:rPr>
              <w:t>La capa de acceso a datos (SQLAlchemy/pyodbc) debe capturar la excepción de restricción de clave foránea y retornar un mensaje amigable a la capa de presentación (respuesta JSON con success: false) sin interrumpir el servicio de la API.</w:t>
            </w:r>
          </w:p>
        </w:tc>
      </w:tr>
      <w:tr>
        <w:tc>
          <w:tcPr>
            <w:tcW w:type="dxa" w:w="2268"/>
          </w:tcPr>
          <w:p>
            <w:r>
              <w:rPr>
                <w:rFonts w:ascii="Times New Roman" w:hAnsi="Times New Roman"/>
                <w:b/>
                <w:sz w:val="22"/>
              </w:rPr>
              <w:t>Resultado Esperado</w:t>
            </w:r>
          </w:p>
        </w:tc>
        <w:tc>
          <w:tcPr>
            <w:tcW w:type="dxa" w:w="6803"/>
          </w:tcPr>
          <w:p>
            <w:r>
              <w:rPr>
                <w:rFonts w:ascii="Times New Roman" w:hAnsi="Times New Roman"/>
                <w:sz w:val="22"/>
              </w:rPr>
              <w:t>Cancelación de la eliminación y visualización del mensaje: "No se puede eliminar el registro porque tiene datos asociados".</w:t>
            </w:r>
          </w:p>
        </w:tc>
      </w:tr>
      <w:tr>
        <w:tc>
          <w:tcPr>
            <w:tcW w:type="dxa" w:w="2268"/>
          </w:tcPr>
          <w:p>
            <w:r>
              <w:rPr>
                <w:rFonts w:ascii="Times New Roman" w:hAnsi="Times New Roman"/>
                <w:b/>
                <w:sz w:val="22"/>
              </w:rPr>
              <w:t>Resultado Obtenido</w:t>
            </w:r>
          </w:p>
        </w:tc>
        <w:tc>
          <w:tcPr>
            <w:tcW w:type="dxa" w:w="6803"/>
          </w:tcPr>
          <w:p>
            <w:r>
              <w:rPr>
                <w:rFonts w:ascii="Times New Roman" w:hAnsi="Times New Roman"/>
                <w:sz w:val="22"/>
              </w:rPr>
              <w:t>El sistema bloqueó la acción correctamente, gestionó la excepción a nivel de código QA (validado mediante PyTest) y devolvió la respuesta controlada esperada. La baja se realizó de forma lógica (soft-delete) sobre el campo estado.</w:t>
            </w:r>
          </w:p>
        </w:tc>
      </w:tr>
      <w:tr>
        <w:tc>
          <w:tcPr>
            <w:tcW w:type="dxa" w:w="2268"/>
          </w:tcPr>
          <w:p>
            <w:r>
              <w:rPr>
                <w:rFonts w:ascii="Times New Roman" w:hAnsi="Times New Roman"/>
                <w:b/>
                <w:sz w:val="22"/>
              </w:rPr>
              <w:t>Evidencias</w:t>
            </w:r>
          </w:p>
        </w:tc>
        <w:tc>
          <w:tcPr>
            <w:tcW w:type="dxa" w:w="6803"/>
          </w:tcPr>
          <w:p>
            <w:r>
              <w:rPr>
                <w:rFonts w:ascii="Times New Roman" w:hAnsi="Times New Roman"/>
                <w:sz w:val="22"/>
              </w:rPr>
              <w:t>Ver Figura 25 - Respuesta de la API ante integridad referencial y Figura 26 - Consola de PyTest con el test superado.</w:t>
            </w:r>
          </w:p>
        </w:tc>
      </w:tr>
    </w:tbl>
    <w:p>
      <w:pPr>
        <w:spacing w:after="240"/>
      </w:pPr>
      <w:r>
        <w:rPr>
          <w:rFonts w:ascii="Times New Roman" w:hAnsi="Times New Roman"/>
          <w:i/>
          <w:sz w:val="22"/>
        </w:rPr>
        <w:t xml:space="preserve">Nota. </w:t>
      </w:r>
      <w:r>
        <w:rPr>
          <w:rFonts w:ascii="Times New Roman" w:hAnsi="Times New Roman"/>
          <w:sz w:val="22"/>
        </w:rPr>
        <w:t>Elaboración propia.</w:t>
      </w:r>
    </w:p>
    <w:p>
      <w:r>
        <w:rPr>
          <w:rFonts w:ascii="Times New Roman" w:hAnsi="Times New Roman"/>
          <w:b/>
          <w:sz w:val="24"/>
        </w:rPr>
        <w:t>Tabla 2</w:t>
      </w:r>
    </w:p>
    <w:p>
      <w:pPr>
        <w:spacing w:after="80"/>
      </w:pPr>
      <w:r>
        <w:rPr>
          <w:rFonts w:ascii="Times New Roman" w:hAnsi="Times New Roman"/>
          <w:i/>
          <w:sz w:val="24"/>
        </w:rPr>
        <w:t>Caso de Prueba 2: Verificación de Doble Factor de Autenticación (2FA)</w:t>
      </w:r>
    </w:p>
    <w:tbl>
      <w:tblPr>
        <w:tblStyle w:val="TableGrid"/>
        <w:tblW w:type="auto" w:w="0"/>
        <w:jc w:val="center"/>
        <w:tblLook w:firstColumn="1" w:firstRow="1" w:lastColumn="0" w:lastRow="0" w:noHBand="0" w:noVBand="1" w:val="04A0"/>
      </w:tblPr>
      <w:tblGrid>
        <w:gridCol w:w="4703"/>
        <w:gridCol w:w="4703"/>
      </w:tblGrid>
      <w:tr>
        <w:tc>
          <w:tcPr>
            <w:tcW w:type="dxa" w:w="2268"/>
            <w:shd w:val="clear" w:fill="1E3A5F"/>
          </w:tcPr>
          <w:p>
            <w:r/>
            <w:r>
              <w:rPr>
                <w:rFonts w:ascii="Times New Roman" w:hAnsi="Times New Roman"/>
                <w:b/>
                <w:color w:val="FFFFFF"/>
                <w:sz w:val="22"/>
              </w:rPr>
              <w:t>Elemento</w:t>
            </w:r>
          </w:p>
        </w:tc>
        <w:tc>
          <w:tcPr>
            <w:tcW w:type="dxa" w:w="6803"/>
            <w:shd w:val="clear" w:fill="1E3A5F"/>
          </w:tcPr>
          <w:p>
            <w:r/>
            <w:r>
              <w:rPr>
                <w:rFonts w:ascii="Times New Roman" w:hAnsi="Times New Roman"/>
                <w:b/>
                <w:color w:val="FFFFFF"/>
                <w:sz w:val="22"/>
              </w:rPr>
              <w:t>Descripción</w:t>
            </w:r>
          </w:p>
        </w:tc>
      </w:tr>
      <w:tr>
        <w:tc>
          <w:tcPr>
            <w:tcW w:type="dxa" w:w="2268"/>
          </w:tcPr>
          <w:p>
            <w:r>
              <w:rPr>
                <w:rFonts w:ascii="Times New Roman" w:hAnsi="Times New Roman"/>
                <w:b/>
                <w:sz w:val="22"/>
              </w:rPr>
              <w:t>Identificador</w:t>
            </w:r>
          </w:p>
        </w:tc>
        <w:tc>
          <w:tcPr>
            <w:tcW w:type="dxa" w:w="6803"/>
          </w:tcPr>
          <w:p>
            <w:r>
              <w:rPr>
                <w:rFonts w:ascii="Times New Roman" w:hAnsi="Times New Roman"/>
                <w:sz w:val="22"/>
              </w:rPr>
              <w:t>CP-02</w:t>
            </w:r>
          </w:p>
        </w:tc>
      </w:tr>
      <w:tr>
        <w:tc>
          <w:tcPr>
            <w:tcW w:type="dxa" w:w="2268"/>
          </w:tcPr>
          <w:p>
            <w:r>
              <w:rPr>
                <w:rFonts w:ascii="Times New Roman" w:hAnsi="Times New Roman"/>
                <w:b/>
                <w:sz w:val="22"/>
              </w:rPr>
              <w:t>Nombre</w:t>
            </w:r>
          </w:p>
        </w:tc>
        <w:tc>
          <w:tcPr>
            <w:tcW w:type="dxa" w:w="6803"/>
          </w:tcPr>
          <w:p>
            <w:r>
              <w:rPr>
                <w:rFonts w:ascii="Times New Roman" w:hAnsi="Times New Roman"/>
                <w:sz w:val="22"/>
              </w:rPr>
              <w:t>Rechazo de código OTP inválido en el login</w:t>
            </w:r>
          </w:p>
        </w:tc>
      </w:tr>
      <w:tr>
        <w:tc>
          <w:tcPr>
            <w:tcW w:type="dxa" w:w="2268"/>
          </w:tcPr>
          <w:p>
            <w:r>
              <w:rPr>
                <w:rFonts w:ascii="Times New Roman" w:hAnsi="Times New Roman"/>
                <w:b/>
                <w:sz w:val="22"/>
              </w:rPr>
              <w:t>Criterios de Aceptación</w:t>
            </w:r>
          </w:p>
        </w:tc>
        <w:tc>
          <w:tcPr>
            <w:tcW w:type="dxa" w:w="6803"/>
          </w:tcPr>
          <w:p>
            <w:r>
              <w:rPr>
                <w:rFonts w:ascii="Times New Roman" w:hAnsi="Times New Roman"/>
                <w:sz w:val="22"/>
              </w:rPr>
              <w:t>El sistema no debe emitir el token de acceso completo (JWT authenticated) si el código TOTP de seis dígitos ingresado es incorrecto.</w:t>
            </w:r>
          </w:p>
        </w:tc>
      </w:tr>
      <w:tr>
        <w:tc>
          <w:tcPr>
            <w:tcW w:type="dxa" w:w="2268"/>
          </w:tcPr>
          <w:p>
            <w:r>
              <w:rPr>
                <w:rFonts w:ascii="Times New Roman" w:hAnsi="Times New Roman"/>
                <w:b/>
                <w:sz w:val="22"/>
              </w:rPr>
              <w:t>Control de Errores</w:t>
            </w:r>
          </w:p>
        </w:tc>
        <w:tc>
          <w:tcPr>
            <w:tcW w:type="dxa" w:w="6803"/>
          </w:tcPr>
          <w:p>
            <w:r>
              <w:rPr>
                <w:rFonts w:ascii="Times New Roman" w:hAnsi="Times New Roman"/>
                <w:sz w:val="22"/>
              </w:rPr>
              <w:t>El endpoint /2fa/verify debe validar el OTP contra el secreto del usuario y responder con código HTTP 401 ante un código inválido, sin conceder acceso.</w:t>
            </w:r>
          </w:p>
        </w:tc>
      </w:tr>
      <w:tr>
        <w:tc>
          <w:tcPr>
            <w:tcW w:type="dxa" w:w="2268"/>
          </w:tcPr>
          <w:p>
            <w:r>
              <w:rPr>
                <w:rFonts w:ascii="Times New Roman" w:hAnsi="Times New Roman"/>
                <w:b/>
                <w:sz w:val="22"/>
              </w:rPr>
              <w:t>Resultado Esperado</w:t>
            </w:r>
          </w:p>
        </w:tc>
        <w:tc>
          <w:tcPr>
            <w:tcW w:type="dxa" w:w="6803"/>
          </w:tcPr>
          <w:p>
            <w:r>
              <w:rPr>
                <w:rFonts w:ascii="Times New Roman" w:hAnsi="Times New Roman"/>
                <w:sz w:val="22"/>
              </w:rPr>
              <w:t>Mensaje de error: "Código OTP incorrecto" y denegación del acceso.</w:t>
            </w:r>
          </w:p>
        </w:tc>
      </w:tr>
      <w:tr>
        <w:tc>
          <w:tcPr>
            <w:tcW w:type="dxa" w:w="2268"/>
          </w:tcPr>
          <w:p>
            <w:r>
              <w:rPr>
                <w:rFonts w:ascii="Times New Roman" w:hAnsi="Times New Roman"/>
                <w:b/>
                <w:sz w:val="22"/>
              </w:rPr>
              <w:t>Resultado Obtenido</w:t>
            </w:r>
          </w:p>
        </w:tc>
        <w:tc>
          <w:tcPr>
            <w:tcW w:type="dxa" w:w="6803"/>
          </w:tcPr>
          <w:p>
            <w:r>
              <w:rPr>
                <w:rFonts w:ascii="Times New Roman" w:hAnsi="Times New Roman"/>
                <w:sz w:val="22"/>
              </w:rPr>
              <w:t>La validación del OTP funcionó correctamente: ante un código inválido el sistema devolvió 401 y no emitió el token completo; ante un código válido emitió los tokens de acceso y refresco.</w:t>
            </w:r>
          </w:p>
        </w:tc>
      </w:tr>
      <w:tr>
        <w:tc>
          <w:tcPr>
            <w:tcW w:type="dxa" w:w="2268"/>
          </w:tcPr>
          <w:p>
            <w:r>
              <w:rPr>
                <w:rFonts w:ascii="Times New Roman" w:hAnsi="Times New Roman"/>
                <w:b/>
                <w:sz w:val="22"/>
              </w:rPr>
              <w:t>Evidencias</w:t>
            </w:r>
          </w:p>
        </w:tc>
        <w:tc>
          <w:tcPr>
            <w:tcW w:type="dxa" w:w="6803"/>
          </w:tcPr>
          <w:p>
            <w:r>
              <w:rPr>
                <w:rFonts w:ascii="Times New Roman" w:hAnsi="Times New Roman"/>
                <w:sz w:val="22"/>
              </w:rPr>
              <w:t>Ver Figura 27 - Mensaje de OTP incorrecto y Figura 28 - Consola de PyTest mostrando el test de verificación 2FA.</w:t>
            </w:r>
          </w:p>
        </w:tc>
      </w:tr>
    </w:tbl>
    <w:p>
      <w:pPr>
        <w:spacing w:after="240"/>
      </w:pPr>
      <w:r>
        <w:rPr>
          <w:rFonts w:ascii="Times New Roman" w:hAnsi="Times New Roman"/>
          <w:i/>
          <w:sz w:val="22"/>
        </w:rPr>
        <w:t xml:space="preserve">Nota. </w:t>
      </w:r>
      <w:r>
        <w:rPr>
          <w:rFonts w:ascii="Times New Roman" w:hAnsi="Times New Roman"/>
          <w:sz w:val="22"/>
        </w:rPr>
        <w:t>Elaboración propia.</w:t>
      </w:r>
    </w:p>
    <w:p>
      <w:r>
        <w:rPr>
          <w:rFonts w:ascii="Times New Roman" w:hAnsi="Times New Roman"/>
          <w:b/>
          <w:sz w:val="24"/>
        </w:rPr>
        <w:t>Tabla 3</w:t>
      </w:r>
    </w:p>
    <w:p>
      <w:pPr>
        <w:spacing w:after="80"/>
      </w:pPr>
      <w:r>
        <w:rPr>
          <w:rFonts w:ascii="Times New Roman" w:hAnsi="Times New Roman"/>
          <w:i/>
          <w:sz w:val="24"/>
        </w:rPr>
        <w:t>Caso de Prueba 3: Validación de Trazabilidad Transaccional</w:t>
      </w:r>
    </w:p>
    <w:tbl>
      <w:tblPr>
        <w:tblStyle w:val="TableGrid"/>
        <w:tblW w:type="auto" w:w="0"/>
        <w:jc w:val="center"/>
        <w:tblLook w:firstColumn="1" w:firstRow="1" w:lastColumn="0" w:lastRow="0" w:noHBand="0" w:noVBand="1" w:val="04A0"/>
      </w:tblPr>
      <w:tblGrid>
        <w:gridCol w:w="4703"/>
        <w:gridCol w:w="4703"/>
      </w:tblGrid>
      <w:tr>
        <w:tc>
          <w:tcPr>
            <w:tcW w:type="dxa" w:w="2268"/>
            <w:shd w:val="clear" w:fill="1E3A5F"/>
          </w:tcPr>
          <w:p>
            <w:r/>
            <w:r>
              <w:rPr>
                <w:rFonts w:ascii="Times New Roman" w:hAnsi="Times New Roman"/>
                <w:b/>
                <w:color w:val="FFFFFF"/>
                <w:sz w:val="22"/>
              </w:rPr>
              <w:t>Elemento</w:t>
            </w:r>
          </w:p>
        </w:tc>
        <w:tc>
          <w:tcPr>
            <w:tcW w:type="dxa" w:w="6803"/>
            <w:shd w:val="clear" w:fill="1E3A5F"/>
          </w:tcPr>
          <w:p>
            <w:r/>
            <w:r>
              <w:rPr>
                <w:rFonts w:ascii="Times New Roman" w:hAnsi="Times New Roman"/>
                <w:b/>
                <w:color w:val="FFFFFF"/>
                <w:sz w:val="22"/>
              </w:rPr>
              <w:t>Descripción</w:t>
            </w:r>
          </w:p>
        </w:tc>
      </w:tr>
      <w:tr>
        <w:tc>
          <w:tcPr>
            <w:tcW w:type="dxa" w:w="2268"/>
          </w:tcPr>
          <w:p>
            <w:r>
              <w:rPr>
                <w:rFonts w:ascii="Times New Roman" w:hAnsi="Times New Roman"/>
                <w:b/>
                <w:sz w:val="22"/>
              </w:rPr>
              <w:t>Identificador</w:t>
            </w:r>
          </w:p>
        </w:tc>
        <w:tc>
          <w:tcPr>
            <w:tcW w:type="dxa" w:w="6803"/>
          </w:tcPr>
          <w:p>
            <w:r>
              <w:rPr>
                <w:rFonts w:ascii="Times New Roman" w:hAnsi="Times New Roman"/>
                <w:sz w:val="22"/>
              </w:rPr>
              <w:t>CP-03</w:t>
            </w:r>
          </w:p>
        </w:tc>
      </w:tr>
      <w:tr>
        <w:tc>
          <w:tcPr>
            <w:tcW w:type="dxa" w:w="2268"/>
          </w:tcPr>
          <w:p>
            <w:r>
              <w:rPr>
                <w:rFonts w:ascii="Times New Roman" w:hAnsi="Times New Roman"/>
                <w:b/>
                <w:sz w:val="22"/>
              </w:rPr>
              <w:t>Nombre</w:t>
            </w:r>
          </w:p>
        </w:tc>
        <w:tc>
          <w:tcPr>
            <w:tcW w:type="dxa" w:w="6803"/>
          </w:tcPr>
          <w:p>
            <w:r>
              <w:rPr>
                <w:rFonts w:ascii="Times New Roman" w:hAnsi="Times New Roman"/>
                <w:sz w:val="22"/>
              </w:rPr>
              <w:t>Registro automático de eventos de auditoría</w:t>
            </w:r>
          </w:p>
        </w:tc>
      </w:tr>
      <w:tr>
        <w:tc>
          <w:tcPr>
            <w:tcW w:type="dxa" w:w="2268"/>
          </w:tcPr>
          <w:p>
            <w:r>
              <w:rPr>
                <w:rFonts w:ascii="Times New Roman" w:hAnsi="Times New Roman"/>
                <w:b/>
                <w:sz w:val="22"/>
              </w:rPr>
              <w:t>Criterios de Aceptación</w:t>
            </w:r>
          </w:p>
        </w:tc>
        <w:tc>
          <w:tcPr>
            <w:tcW w:type="dxa" w:w="6803"/>
          </w:tcPr>
          <w:p>
            <w:r>
              <w:rPr>
                <w:rFonts w:ascii="Times New Roman" w:hAnsi="Times New Roman"/>
                <w:sz w:val="22"/>
              </w:rPr>
              <w:t>Toda modificación crítica de datos (alta, baja o modificación) debe generar un registro automático en la tabla auditoria.</w:t>
            </w:r>
          </w:p>
        </w:tc>
      </w:tr>
      <w:tr>
        <w:tc>
          <w:tcPr>
            <w:tcW w:type="dxa" w:w="2268"/>
          </w:tcPr>
          <w:p>
            <w:r>
              <w:rPr>
                <w:rFonts w:ascii="Times New Roman" w:hAnsi="Times New Roman"/>
                <w:b/>
                <w:sz w:val="22"/>
              </w:rPr>
              <w:t>Control de Errores</w:t>
            </w:r>
          </w:p>
        </w:tc>
        <w:tc>
          <w:tcPr>
            <w:tcW w:type="dxa" w:w="6803"/>
          </w:tcPr>
          <w:p>
            <w:r>
              <w:rPr>
                <w:rFonts w:ascii="Times New Roman" w:hAnsi="Times New Roman"/>
                <w:sz w:val="22"/>
              </w:rPr>
              <w:t>Si la operación principal se realiza pero falla el registro de auditoría, la transacción completa debe revertirse (rollback), preservando la consistencia de los datos.</w:t>
            </w:r>
          </w:p>
        </w:tc>
      </w:tr>
      <w:tr>
        <w:tc>
          <w:tcPr>
            <w:tcW w:type="dxa" w:w="2268"/>
          </w:tcPr>
          <w:p>
            <w:r>
              <w:rPr>
                <w:rFonts w:ascii="Times New Roman" w:hAnsi="Times New Roman"/>
                <w:b/>
                <w:sz w:val="22"/>
              </w:rPr>
              <w:t>Resultado Esperado</w:t>
            </w:r>
          </w:p>
        </w:tc>
        <w:tc>
          <w:tcPr>
            <w:tcW w:type="dxa" w:w="6803"/>
          </w:tcPr>
          <w:p>
            <w:r>
              <w:rPr>
                <w:rFonts w:ascii="Times New Roman" w:hAnsi="Times New Roman"/>
                <w:sz w:val="22"/>
              </w:rPr>
              <w:t>Un nuevo registro en la tabla auditoria con el identificador del usuario, la acción, el módulo, el resultado y la fecha/hora del sistema.</w:t>
            </w:r>
          </w:p>
        </w:tc>
      </w:tr>
      <w:tr>
        <w:tc>
          <w:tcPr>
            <w:tcW w:type="dxa" w:w="2268"/>
          </w:tcPr>
          <w:p>
            <w:r>
              <w:rPr>
                <w:rFonts w:ascii="Times New Roman" w:hAnsi="Times New Roman"/>
                <w:b/>
                <w:sz w:val="22"/>
              </w:rPr>
              <w:t>Resultado Obtenido</w:t>
            </w:r>
          </w:p>
        </w:tc>
        <w:tc>
          <w:tcPr>
            <w:tcW w:type="dxa" w:w="6803"/>
          </w:tcPr>
          <w:p>
            <w:r>
              <w:rPr>
                <w:rFonts w:ascii="Times New Roman" w:hAnsi="Times New Roman"/>
                <w:sz w:val="22"/>
              </w:rPr>
              <w:t>La operación se ejecutó correctamente y se verificó la creación del registro correspondiente en la bitácora, con la marca de tiempo exacta y los valores anteriores/nuevos cuando aplicaba.</w:t>
            </w:r>
          </w:p>
        </w:tc>
      </w:tr>
      <w:tr>
        <w:tc>
          <w:tcPr>
            <w:tcW w:type="dxa" w:w="2268"/>
          </w:tcPr>
          <w:p>
            <w:r>
              <w:rPr>
                <w:rFonts w:ascii="Times New Roman" w:hAnsi="Times New Roman"/>
                <w:b/>
                <w:sz w:val="22"/>
              </w:rPr>
              <w:t>Evidencias</w:t>
            </w:r>
          </w:p>
        </w:tc>
        <w:tc>
          <w:tcPr>
            <w:tcW w:type="dxa" w:w="6803"/>
          </w:tcPr>
          <w:p>
            <w:r>
              <w:rPr>
                <w:rFonts w:ascii="Times New Roman" w:hAnsi="Times New Roman"/>
                <w:sz w:val="22"/>
              </w:rPr>
              <w:t>Ver Figura 29 - Visualización de la tabla auditoria en el motor de base de datos.</w:t>
            </w:r>
          </w:p>
        </w:tc>
      </w:tr>
    </w:tbl>
    <w:p>
      <w:pPr>
        <w:spacing w:after="240"/>
      </w:pPr>
      <w:r>
        <w:rPr>
          <w:rFonts w:ascii="Times New Roman" w:hAnsi="Times New Roman"/>
          <w:i/>
          <w:sz w:val="22"/>
        </w:rPr>
        <w:t xml:space="preserve">Nota. </w:t>
      </w:r>
      <w:r>
        <w:rPr>
          <w:rFonts w:ascii="Times New Roman" w:hAnsi="Times New Roman"/>
          <w:sz w:val="22"/>
        </w:rPr>
        <w:t>Elaboración propia.</w:t>
      </w:r>
    </w:p>
    <w:p>
      <w:r>
        <w:rPr>
          <w:rFonts w:ascii="Times New Roman" w:hAnsi="Times New Roman"/>
          <w:b/>
          <w:sz w:val="24"/>
        </w:rPr>
        <w:t>Tabla 4</w:t>
      </w:r>
    </w:p>
    <w:p>
      <w:pPr>
        <w:spacing w:after="80"/>
      </w:pPr>
      <w:r>
        <w:rPr>
          <w:rFonts w:ascii="Times New Roman" w:hAnsi="Times New Roman"/>
          <w:i/>
          <w:sz w:val="24"/>
        </w:rPr>
        <w:t>Caso de Prueba 4: Manejo de Excepciones de Conectividad</w:t>
      </w:r>
    </w:p>
    <w:tbl>
      <w:tblPr>
        <w:tblStyle w:val="TableGrid"/>
        <w:tblW w:type="auto" w:w="0"/>
        <w:jc w:val="center"/>
        <w:tblLook w:firstColumn="1" w:firstRow="1" w:lastColumn="0" w:lastRow="0" w:noHBand="0" w:noVBand="1" w:val="04A0"/>
      </w:tblPr>
      <w:tblGrid>
        <w:gridCol w:w="4703"/>
        <w:gridCol w:w="4703"/>
      </w:tblGrid>
      <w:tr>
        <w:tc>
          <w:tcPr>
            <w:tcW w:type="dxa" w:w="2268"/>
            <w:shd w:val="clear" w:fill="1E3A5F"/>
          </w:tcPr>
          <w:p>
            <w:r/>
            <w:r>
              <w:rPr>
                <w:rFonts w:ascii="Times New Roman" w:hAnsi="Times New Roman"/>
                <w:b/>
                <w:color w:val="FFFFFF"/>
                <w:sz w:val="22"/>
              </w:rPr>
              <w:t>Elemento</w:t>
            </w:r>
          </w:p>
        </w:tc>
        <w:tc>
          <w:tcPr>
            <w:tcW w:type="dxa" w:w="6803"/>
            <w:shd w:val="clear" w:fill="1E3A5F"/>
          </w:tcPr>
          <w:p>
            <w:r/>
            <w:r>
              <w:rPr>
                <w:rFonts w:ascii="Times New Roman" w:hAnsi="Times New Roman"/>
                <w:b/>
                <w:color w:val="FFFFFF"/>
                <w:sz w:val="22"/>
              </w:rPr>
              <w:t>Descripción</w:t>
            </w:r>
          </w:p>
        </w:tc>
      </w:tr>
      <w:tr>
        <w:tc>
          <w:tcPr>
            <w:tcW w:type="dxa" w:w="2268"/>
          </w:tcPr>
          <w:p>
            <w:r>
              <w:rPr>
                <w:rFonts w:ascii="Times New Roman" w:hAnsi="Times New Roman"/>
                <w:b/>
                <w:sz w:val="22"/>
              </w:rPr>
              <w:t>Identificador</w:t>
            </w:r>
          </w:p>
        </w:tc>
        <w:tc>
          <w:tcPr>
            <w:tcW w:type="dxa" w:w="6803"/>
          </w:tcPr>
          <w:p>
            <w:r>
              <w:rPr>
                <w:rFonts w:ascii="Times New Roman" w:hAnsi="Times New Roman"/>
                <w:sz w:val="22"/>
              </w:rPr>
              <w:t>CP-04</w:t>
            </w:r>
          </w:p>
        </w:tc>
      </w:tr>
      <w:tr>
        <w:tc>
          <w:tcPr>
            <w:tcW w:type="dxa" w:w="2268"/>
          </w:tcPr>
          <w:p>
            <w:r>
              <w:rPr>
                <w:rFonts w:ascii="Times New Roman" w:hAnsi="Times New Roman"/>
                <w:b/>
                <w:sz w:val="22"/>
              </w:rPr>
              <w:t>Nombre</w:t>
            </w:r>
          </w:p>
        </w:tc>
        <w:tc>
          <w:tcPr>
            <w:tcW w:type="dxa" w:w="6803"/>
          </w:tcPr>
          <w:p>
            <w:r>
              <w:rPr>
                <w:rFonts w:ascii="Times New Roman" w:hAnsi="Times New Roman"/>
                <w:sz w:val="22"/>
              </w:rPr>
              <w:t>Pérdida de conexión con el servidor de base de datos</w:t>
            </w:r>
          </w:p>
        </w:tc>
      </w:tr>
      <w:tr>
        <w:tc>
          <w:tcPr>
            <w:tcW w:type="dxa" w:w="2268"/>
          </w:tcPr>
          <w:p>
            <w:r>
              <w:rPr>
                <w:rFonts w:ascii="Times New Roman" w:hAnsi="Times New Roman"/>
                <w:b/>
                <w:sz w:val="22"/>
              </w:rPr>
              <w:t>Criterios de Aceptación</w:t>
            </w:r>
          </w:p>
        </w:tc>
        <w:tc>
          <w:tcPr>
            <w:tcW w:type="dxa" w:w="6803"/>
          </w:tcPr>
          <w:p>
            <w:r>
              <w:rPr>
                <w:rFonts w:ascii="Times New Roman" w:hAnsi="Times New Roman"/>
                <w:sz w:val="22"/>
              </w:rPr>
              <w:t>La API no debe detener su ejecución de forma abrupta si el servidor de SQL Server se apaga o pierde conectividad durante una operación.</w:t>
            </w:r>
          </w:p>
        </w:tc>
      </w:tr>
      <w:tr>
        <w:tc>
          <w:tcPr>
            <w:tcW w:type="dxa" w:w="2268"/>
          </w:tcPr>
          <w:p>
            <w:r>
              <w:rPr>
                <w:rFonts w:ascii="Times New Roman" w:hAnsi="Times New Roman"/>
                <w:b/>
                <w:sz w:val="22"/>
              </w:rPr>
              <w:t>Control de Errores</w:t>
            </w:r>
          </w:p>
        </w:tc>
        <w:tc>
          <w:tcPr>
            <w:tcW w:type="dxa" w:w="6803"/>
          </w:tcPr>
          <w:p>
            <w:r>
              <w:rPr>
                <w:rFonts w:ascii="Times New Roman" w:hAnsi="Times New Roman"/>
                <w:sz w:val="22"/>
              </w:rPr>
              <w:t>La capa de datos debe capturar la excepción de conexión (OperationalError / pyodbc) y responder con un mensaje controlado, manteniendo el servicio operativo para las siguientes solicitudes.</w:t>
            </w:r>
          </w:p>
        </w:tc>
      </w:tr>
      <w:tr>
        <w:tc>
          <w:tcPr>
            <w:tcW w:type="dxa" w:w="2268"/>
          </w:tcPr>
          <w:p>
            <w:r>
              <w:rPr>
                <w:rFonts w:ascii="Times New Roman" w:hAnsi="Times New Roman"/>
                <w:b/>
                <w:sz w:val="22"/>
              </w:rPr>
              <w:t>Resultado Esperado</w:t>
            </w:r>
          </w:p>
        </w:tc>
        <w:tc>
          <w:tcPr>
            <w:tcW w:type="dxa" w:w="6803"/>
          </w:tcPr>
          <w:p>
            <w:r>
              <w:rPr>
                <w:rFonts w:ascii="Times New Roman" w:hAnsi="Times New Roman"/>
                <w:sz w:val="22"/>
              </w:rPr>
              <w:t>Respuesta con mensaje: "Error de conexión con el servidor. Intente nuevamente" y código de error apropiado.</w:t>
            </w:r>
          </w:p>
        </w:tc>
      </w:tr>
      <w:tr>
        <w:tc>
          <w:tcPr>
            <w:tcW w:type="dxa" w:w="2268"/>
          </w:tcPr>
          <w:p>
            <w:r>
              <w:rPr>
                <w:rFonts w:ascii="Times New Roman" w:hAnsi="Times New Roman"/>
                <w:b/>
                <w:sz w:val="22"/>
              </w:rPr>
              <w:t>Resultado Obtenido</w:t>
            </w:r>
          </w:p>
        </w:tc>
        <w:tc>
          <w:tcPr>
            <w:tcW w:type="dxa" w:w="6803"/>
          </w:tcPr>
          <w:p>
            <w:r>
              <w:rPr>
                <w:rFonts w:ascii="Times New Roman" w:hAnsi="Times New Roman"/>
                <w:sz w:val="22"/>
              </w:rPr>
              <w:t>Al simular la caída del servicio de datos, la aplicación capturó la excepción y devolvió la respuesta controlada, sin cerrarse ni corromper el estado del servidor.</w:t>
            </w:r>
          </w:p>
        </w:tc>
      </w:tr>
      <w:tr>
        <w:tc>
          <w:tcPr>
            <w:tcW w:type="dxa" w:w="2268"/>
          </w:tcPr>
          <w:p>
            <w:r>
              <w:rPr>
                <w:rFonts w:ascii="Times New Roman" w:hAnsi="Times New Roman"/>
                <w:b/>
                <w:sz w:val="22"/>
              </w:rPr>
              <w:t>Evidencias</w:t>
            </w:r>
          </w:p>
        </w:tc>
        <w:tc>
          <w:tcPr>
            <w:tcW w:type="dxa" w:w="6803"/>
          </w:tcPr>
          <w:p>
            <w:r>
              <w:rPr>
                <w:rFonts w:ascii="Times New Roman" w:hAnsi="Times New Roman"/>
                <w:sz w:val="22"/>
              </w:rPr>
              <w:t>Ver Figura 30 - Respuesta de la API ante pérdida de conexión.</w:t>
            </w:r>
          </w:p>
        </w:tc>
      </w:tr>
    </w:tbl>
    <w:p>
      <w:pPr>
        <w:spacing w:after="240"/>
      </w:pPr>
      <w:r>
        <w:rPr>
          <w:rFonts w:ascii="Times New Roman" w:hAnsi="Times New Roman"/>
          <w:i/>
          <w:sz w:val="22"/>
        </w:rPr>
        <w:t xml:space="preserve">Nota. </w:t>
      </w:r>
      <w:r>
        <w:rPr>
          <w:rFonts w:ascii="Times New Roman" w:hAnsi="Times New Roman"/>
          <w:sz w:val="22"/>
        </w:rPr>
        <w:t>Elaboración propia.</w:t>
      </w:r>
    </w:p>
    <w:p>
      <w:r>
        <w:rPr>
          <w:rFonts w:ascii="Times New Roman" w:hAnsi="Times New Roman"/>
          <w:b/>
          <w:sz w:val="24"/>
        </w:rPr>
        <w:t>Tabla 5</w:t>
      </w:r>
    </w:p>
    <w:p>
      <w:pPr>
        <w:spacing w:after="80"/>
      </w:pPr>
      <w:r>
        <w:rPr>
          <w:rFonts w:ascii="Times New Roman" w:hAnsi="Times New Roman"/>
          <w:i/>
          <w:sz w:val="24"/>
        </w:rPr>
        <w:t>Caso de Prueba 5: Verificación del Principio de Mínimo Privilegio</w:t>
      </w:r>
    </w:p>
    <w:tbl>
      <w:tblPr>
        <w:tblStyle w:val="TableGrid"/>
        <w:tblW w:type="auto" w:w="0"/>
        <w:jc w:val="center"/>
        <w:tblLook w:firstColumn="1" w:firstRow="1" w:lastColumn="0" w:lastRow="0" w:noHBand="0" w:noVBand="1" w:val="04A0"/>
      </w:tblPr>
      <w:tblGrid>
        <w:gridCol w:w="4703"/>
        <w:gridCol w:w="4703"/>
      </w:tblGrid>
      <w:tr>
        <w:tc>
          <w:tcPr>
            <w:tcW w:type="dxa" w:w="2268"/>
            <w:shd w:val="clear" w:fill="1E3A5F"/>
          </w:tcPr>
          <w:p>
            <w:r/>
            <w:r>
              <w:rPr>
                <w:rFonts w:ascii="Times New Roman" w:hAnsi="Times New Roman"/>
                <w:b/>
                <w:color w:val="FFFFFF"/>
                <w:sz w:val="22"/>
              </w:rPr>
              <w:t>Elemento</w:t>
            </w:r>
          </w:p>
        </w:tc>
        <w:tc>
          <w:tcPr>
            <w:tcW w:type="dxa" w:w="6803"/>
            <w:shd w:val="clear" w:fill="1E3A5F"/>
          </w:tcPr>
          <w:p>
            <w:r/>
            <w:r>
              <w:rPr>
                <w:rFonts w:ascii="Times New Roman" w:hAnsi="Times New Roman"/>
                <w:b/>
                <w:color w:val="FFFFFF"/>
                <w:sz w:val="22"/>
              </w:rPr>
              <w:t>Descripción</w:t>
            </w:r>
          </w:p>
        </w:tc>
      </w:tr>
      <w:tr>
        <w:tc>
          <w:tcPr>
            <w:tcW w:type="dxa" w:w="2268"/>
          </w:tcPr>
          <w:p>
            <w:r>
              <w:rPr>
                <w:rFonts w:ascii="Times New Roman" w:hAnsi="Times New Roman"/>
                <w:b/>
                <w:sz w:val="22"/>
              </w:rPr>
              <w:t>Identificador</w:t>
            </w:r>
          </w:p>
        </w:tc>
        <w:tc>
          <w:tcPr>
            <w:tcW w:type="dxa" w:w="6803"/>
          </w:tcPr>
          <w:p>
            <w:r>
              <w:rPr>
                <w:rFonts w:ascii="Times New Roman" w:hAnsi="Times New Roman"/>
                <w:sz w:val="22"/>
              </w:rPr>
              <w:t>CP-05</w:t>
            </w:r>
          </w:p>
        </w:tc>
      </w:tr>
      <w:tr>
        <w:tc>
          <w:tcPr>
            <w:tcW w:type="dxa" w:w="2268"/>
          </w:tcPr>
          <w:p>
            <w:r>
              <w:rPr>
                <w:rFonts w:ascii="Times New Roman" w:hAnsi="Times New Roman"/>
                <w:b/>
                <w:sz w:val="22"/>
              </w:rPr>
              <w:t>Nombre</w:t>
            </w:r>
          </w:p>
        </w:tc>
        <w:tc>
          <w:tcPr>
            <w:tcW w:type="dxa" w:w="6803"/>
          </w:tcPr>
          <w:p>
            <w:r>
              <w:rPr>
                <w:rFonts w:ascii="Times New Roman" w:hAnsi="Times New Roman"/>
                <w:sz w:val="22"/>
              </w:rPr>
              <w:t>Acceso a módulos restringidos por rol</w:t>
            </w:r>
          </w:p>
        </w:tc>
      </w:tr>
      <w:tr>
        <w:tc>
          <w:tcPr>
            <w:tcW w:type="dxa" w:w="2268"/>
          </w:tcPr>
          <w:p>
            <w:r>
              <w:rPr>
                <w:rFonts w:ascii="Times New Roman" w:hAnsi="Times New Roman"/>
                <w:b/>
                <w:sz w:val="22"/>
              </w:rPr>
              <w:t>Criterios de Aceptación</w:t>
            </w:r>
          </w:p>
        </w:tc>
        <w:tc>
          <w:tcPr>
            <w:tcW w:type="dxa" w:w="6803"/>
          </w:tcPr>
          <w:p>
            <w:r>
              <w:rPr>
                <w:rFonts w:ascii="Times New Roman" w:hAnsi="Times New Roman"/>
                <w:sz w:val="22"/>
              </w:rPr>
              <w:t>Los usuarios con rol comercial no deben acceder a los módulos administrativos (gestión de usuarios, configuración de criterios y motores de reglas).</w:t>
            </w:r>
          </w:p>
        </w:tc>
      </w:tr>
      <w:tr>
        <w:tc>
          <w:tcPr>
            <w:tcW w:type="dxa" w:w="2268"/>
          </w:tcPr>
          <w:p>
            <w:r>
              <w:rPr>
                <w:rFonts w:ascii="Times New Roman" w:hAnsi="Times New Roman"/>
                <w:b/>
                <w:sz w:val="22"/>
              </w:rPr>
              <w:t>Control de Errores</w:t>
            </w:r>
          </w:p>
        </w:tc>
        <w:tc>
          <w:tcPr>
            <w:tcW w:type="dxa" w:w="6803"/>
          </w:tcPr>
          <w:p>
            <w:r>
              <w:rPr>
                <w:rFonts w:ascii="Times New Roman" w:hAnsi="Times New Roman"/>
                <w:sz w:val="22"/>
              </w:rPr>
              <w:t>El decorador roles_required debe validar el rol del token JWT y denegar la acción con código HTTP 403 ante un acceso no autorizado, tanto si se intenta desde la interfaz como directamente contra la API.</w:t>
            </w:r>
          </w:p>
        </w:tc>
      </w:tr>
      <w:tr>
        <w:tc>
          <w:tcPr>
            <w:tcW w:type="dxa" w:w="2268"/>
          </w:tcPr>
          <w:p>
            <w:r>
              <w:rPr>
                <w:rFonts w:ascii="Times New Roman" w:hAnsi="Times New Roman"/>
                <w:b/>
                <w:sz w:val="22"/>
              </w:rPr>
              <w:t>Resultado Esperado</w:t>
            </w:r>
          </w:p>
        </w:tc>
        <w:tc>
          <w:tcPr>
            <w:tcW w:type="dxa" w:w="6803"/>
          </w:tcPr>
          <w:p>
            <w:r>
              <w:rPr>
                <w:rFonts w:ascii="Times New Roman" w:hAnsi="Times New Roman"/>
                <w:sz w:val="22"/>
              </w:rPr>
              <w:t>La interfaz no muestra los botones/menús administrativos al rol comercial, y la API responde 403 con el mensaje "No tienes permisos para esta acción".</w:t>
            </w:r>
          </w:p>
        </w:tc>
      </w:tr>
      <w:tr>
        <w:tc>
          <w:tcPr>
            <w:tcW w:type="dxa" w:w="2268"/>
          </w:tcPr>
          <w:p>
            <w:r>
              <w:rPr>
                <w:rFonts w:ascii="Times New Roman" w:hAnsi="Times New Roman"/>
                <w:b/>
                <w:sz w:val="22"/>
              </w:rPr>
              <w:t>Resultado Obtenido</w:t>
            </w:r>
          </w:p>
        </w:tc>
        <w:tc>
          <w:tcPr>
            <w:tcW w:type="dxa" w:w="6803"/>
          </w:tcPr>
          <w:p>
            <w:r>
              <w:rPr>
                <w:rFonts w:ascii="Times New Roman" w:hAnsi="Times New Roman"/>
                <w:sz w:val="22"/>
              </w:rPr>
              <w:t>El renderizado condicional del frontend (ProtectedRoute con adminOnly) ocultó las secciones restringidas según el perfil, y la rutina de validación del backend (comprobada vía tests con PyTest) bloqueó los accesos alternativos directos a la API.</w:t>
            </w:r>
          </w:p>
        </w:tc>
      </w:tr>
      <w:tr>
        <w:tc>
          <w:tcPr>
            <w:tcW w:type="dxa" w:w="2268"/>
          </w:tcPr>
          <w:p>
            <w:r>
              <w:rPr>
                <w:rFonts w:ascii="Times New Roman" w:hAnsi="Times New Roman"/>
                <w:b/>
                <w:sz w:val="22"/>
              </w:rPr>
              <w:t>Evidencias</w:t>
            </w:r>
          </w:p>
        </w:tc>
        <w:tc>
          <w:tcPr>
            <w:tcW w:type="dxa" w:w="6803"/>
          </w:tcPr>
          <w:p>
            <w:r>
              <w:rPr>
                <w:rFonts w:ascii="Times New Roman" w:hAnsi="Times New Roman"/>
                <w:sz w:val="22"/>
              </w:rPr>
              <w:t>Ver Figura 31 - Interfaz con menú restringido para el rol comercial y respuesta 403 de la API.</w:t>
            </w:r>
          </w:p>
        </w:tc>
      </w:tr>
    </w:tbl>
    <w:p>
      <w:pPr>
        <w:spacing w:after="240"/>
      </w:pPr>
      <w:r>
        <w:rPr>
          <w:rFonts w:ascii="Times New Roman" w:hAnsi="Times New Roman"/>
          <w:i/>
          <w:sz w:val="22"/>
        </w:rPr>
        <w:t xml:space="preserve">Nota. </w:t>
      </w:r>
      <w:r>
        <w:rPr>
          <w:rFonts w:ascii="Times New Roman" w:hAnsi="Times New Roman"/>
          <w:sz w:val="22"/>
        </w:rPr>
        <w:t>Elaboración propia.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