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i w:val="0"/>
          <w:sz w:val="52"/>
        </w:rPr>
        <w:t>JUSTIFICACIÓN DE PRECIOS</w:t>
      </w:r>
    </w:p>
    <w:p>
      <w:pPr>
        <w:spacing w:after="600"/>
        <w:jc w:val="center"/>
      </w:pPr>
      <w:r>
        <w:rPr>
          <w:i/>
          <w:sz w:val="28"/>
        </w:rPr>
        <w:t>Modelo de negocio del Sistema Experto Web de Scoring para el Análisis de Riesgo de Clientes en Inmobiliarias</w:t>
      </w:r>
    </w:p>
    <w:p>
      <w:pPr>
        <w:spacing w:after="120"/>
        <w:jc w:val="center"/>
      </w:pPr>
      <w:r>
        <w:rPr>
          <w:i w:val="0"/>
          <w:sz w:val="24"/>
        </w:rPr>
        <w:t>Cuantificación de costos, justificación de precios y punto de equilibrio</w:t>
      </w:r>
    </w:p>
    <w:p>
      <w:pPr>
        <w:spacing w:after="120"/>
        <w:jc w:val="center"/>
      </w:pPr>
      <w:r>
        <w:rPr>
          <w:i w:val="0"/>
          <w:sz w:val="24"/>
        </w:rPr>
        <w:t>Asunción, Paraguay — 2026</w:t>
      </w:r>
    </w:p>
    <w:p>
      <w:r>
        <w:br w:type="page"/>
      </w:r>
    </w:p>
    <w:p>
      <w:pPr>
        <w:pStyle w:val="Heading1"/>
      </w:pPr>
      <w:r>
        <w:t>Justificación de Precios</w:t>
      </w:r>
    </w:p>
    <w:p>
      <w:pPr>
        <w:spacing w:after="120"/>
      </w:pPr>
      <w:r>
        <w:rPr>
          <w:i w:val="0"/>
        </w:rPr>
        <w:t>El presente documento cuantifica los costos del modelo de negocio, justifica los precios de los planes de reportes de scoring y demuestra la sostenibilidad del sistema mediante un punto de equilibrio básico. Los montos se expresan en guaraníes (Gs.) y constituyen una hipótesis comercial sujeta a validación con proveedores y con la encuesta de disposición a pagar aplicada a inmobiliarias.</w:t>
      </w:r>
    </w:p>
    <w:p>
      <w:pPr>
        <w:spacing w:after="120"/>
      </w:pPr>
      <w:r>
        <w:rPr>
          <w:i/>
          <w:color w:val="555555"/>
          <w:sz w:val="20"/>
        </w:rPr>
        <w:t>Tipo de cambio referencial: 1 USD ≈ Gs. 7.300, deducido del costo del servicio Render (US$ 7/mes = Gs. 51.100).</w:t>
      </w:r>
    </w:p>
    <w:p>
      <w:pPr>
        <w:pStyle w:val="Heading2"/>
      </w:pPr>
      <w:r>
        <w:t>Clasificación de Costos</w:t>
      </w:r>
    </w:p>
    <w:p>
      <w:pPr>
        <w:spacing w:after="120"/>
      </w:pPr>
      <w:r>
        <w:rPr>
          <w:i w:val="0"/>
        </w:rPr>
        <w:t>Los costos del modelo se separan en dos tipos: la inversión inicial (costo único de desarrollo) y los costos recurrentes (operación mensual).</w:t>
      </w:r>
    </w:p>
    <w:p>
      <w:pPr>
        <w:pStyle w:val="Heading3"/>
      </w:pPr>
      <w:r>
        <w:t>A. Inversión inicial (costo único de desarrollo)</w:t>
      </w:r>
    </w:p>
    <w:p>
      <w:pPr>
        <w:spacing w:after="120"/>
      </w:pPr>
      <w:r>
        <w:rPr>
          <w:i w:val="0"/>
        </w:rPr>
        <w:t>Esfuerzo y recursos empleados una sola vez para construir el sistema (Tablas 5, 6 y 8 del presupuesto):</w:t>
      </w:r>
    </w:p>
    <w:p>
      <w:pPr>
        <w:pStyle w:val="ListBullet"/>
      </w:pPr>
      <w:r>
        <w:rPr>
          <w:b/>
        </w:rPr>
        <w:t xml:space="preserve">Recursos humanos (500 h de desarrollo): </w:t>
      </w:r>
      <w:r>
        <w:t>Gs. 5.000.000.</w:t>
      </w:r>
    </w:p>
    <w:p>
      <w:pPr>
        <w:pStyle w:val="ListBullet"/>
      </w:pPr>
      <w:r>
        <w:rPr>
          <w:b/>
        </w:rPr>
        <w:t xml:space="preserve">Hardware (laptop y smartphone de pruebas): </w:t>
      </w:r>
      <w:r>
        <w:t>Gs. 4.300.000.</w:t>
      </w:r>
    </w:p>
    <w:p>
      <w:pPr>
        <w:pStyle w:val="ListBullet"/>
      </w:pPr>
      <w:r>
        <w:rPr>
          <w:b/>
        </w:rPr>
        <w:t xml:space="preserve">Software y licencias del período de desarrollo: </w:t>
      </w:r>
      <w:r>
        <w:t>Gs. 232.200.</w:t>
      </w:r>
    </w:p>
    <w:p>
      <w:pPr>
        <w:pStyle w:val="ListBullet"/>
      </w:pPr>
      <w:r>
        <w:rPr>
          <w:b/>
        </w:rPr>
        <w:t xml:space="preserve">Total inversión inicial: </w:t>
      </w:r>
      <w:r>
        <w:t>Gs. 9.532.200 (≈ US$ 1.306).</w:t>
      </w:r>
    </w:p>
    <w:p>
      <w:pPr>
        <w:spacing w:after="120"/>
      </w:pPr>
      <w:r>
        <w:rPr>
          <w:i/>
          <w:color w:val="555555"/>
          <w:sz w:val="20"/>
        </w:rPr>
        <w:t>Los gastos administrativos de la tesis (Tabla 7, Gs. 731.250) se consideran propios del trabajo académico y no del producto comercial, por lo que se excluyen del modelo de negocio.</w:t>
      </w:r>
    </w:p>
    <w:p>
      <w:pPr>
        <w:pStyle w:val="Heading3"/>
      </w:pPr>
      <w:r>
        <w:t>B. Costos recurrentes (operación mensual)</w:t>
      </w:r>
    </w:p>
    <w:p>
      <w:pPr>
        <w:spacing w:after="120"/>
      </w:pPr>
      <w:r>
        <w:rPr>
          <w:i w:val="0"/>
        </w:rPr>
        <w:t>Costos necesarios para mantener la plataforma funcionando. Es el bloque sobre el que se concentra el Business Model Canvas:</w:t>
      </w:r>
    </w:p>
    <w:p>
      <w:pPr>
        <w:pStyle w:val="ListBullet"/>
      </w:pPr>
      <w:r>
        <w:rPr>
          <w:b/>
        </w:rPr>
        <w:t xml:space="preserve">Hosting backend (Render Web Service Starter): </w:t>
      </w:r>
      <w:r>
        <w:t>Gs. 51.100/mes — Gs. 613.200/año.</w:t>
      </w:r>
    </w:p>
    <w:p>
      <w:pPr>
        <w:pStyle w:val="ListBullet"/>
      </w:pPr>
      <w:r>
        <w:rPr>
          <w:b/>
        </w:rPr>
        <w:t xml:space="preserve">Base de datos PostgreSQL administrada (Render): </w:t>
      </w:r>
      <w:r>
        <w:t>Gs. 51.100/mes — Gs. 613.200/año.</w:t>
      </w:r>
    </w:p>
    <w:p>
      <w:pPr>
        <w:pStyle w:val="ListBullet"/>
      </w:pPr>
      <w:r>
        <w:rPr>
          <w:b/>
        </w:rPr>
        <w:t xml:space="preserve">Frontend estático (Render, plan Free): </w:t>
      </w:r>
      <w:r>
        <w:t>Gs. 0/mes — Gs. 0/año.</w:t>
      </w:r>
    </w:p>
    <w:p>
      <w:pPr>
        <w:pStyle w:val="ListBullet"/>
      </w:pPr>
      <w:r>
        <w:rPr>
          <w:b/>
        </w:rPr>
        <w:t xml:space="preserve">Dominio (prorrateado): </w:t>
      </w:r>
      <w:r>
        <w:t>~Gs. 7.300/mes — ~Gs. 87.600/año.</w:t>
      </w:r>
    </w:p>
    <w:p>
      <w:pPr>
        <w:pStyle w:val="ListBullet"/>
      </w:pPr>
      <w:r>
        <w:rPr>
          <w:b/>
        </w:rPr>
        <w:t xml:space="preserve">Mantenimiento y actualización del motor de scoring: </w:t>
      </w:r>
      <w:r>
        <w:t>~Gs. 40.000/mes — ~Gs. 480.000/año.</w:t>
      </w:r>
    </w:p>
    <w:p>
      <w:pPr>
        <w:pStyle w:val="ListBullet"/>
      </w:pPr>
      <w:r>
        <w:rPr>
          <w:b/>
        </w:rPr>
        <w:t xml:space="preserve">Soporte técnico, seguridad y respaldos: </w:t>
      </w:r>
      <w:r>
        <w:t>~Gs. 30.000/mes — ~Gs. 360.000/año.</w:t>
      </w:r>
    </w:p>
    <w:p>
      <w:pPr>
        <w:pStyle w:val="ListBullet"/>
      </w:pPr>
      <w:r>
        <w:rPr>
          <w:b/>
        </w:rPr>
        <w:t xml:space="preserve">Subtotal fijo: </w:t>
      </w:r>
      <w:r>
        <w:t>~Gs. 179.600/mes — ~Gs. 2.154.000/año.</w:t>
      </w:r>
    </w:p>
    <w:p>
      <w:pPr>
        <w:pStyle w:val="ListBullet"/>
      </w:pPr>
      <w:r>
        <w:rPr>
          <w:b/>
        </w:rPr>
        <w:t xml:space="preserve">Comisión de pasarela (Pagopar): </w:t>
      </w:r>
      <w:r>
        <w:t>costo variable (% por transacción, proporcional a las ventas).</w:t>
      </w:r>
    </w:p>
    <w:p>
      <w:pPr>
        <w:pStyle w:val="Heading2"/>
      </w:pPr>
      <w:r>
        <w:t>Costo Operativo por Evaluación</w:t>
      </w:r>
    </w:p>
    <w:p>
      <w:pPr>
        <w:spacing w:after="120"/>
      </w:pPr>
      <w:r>
        <w:rPr>
          <w:i w:val="0"/>
        </w:rPr>
        <w:t>El costo marginal de producir una evaluación adicional es prácticamente cero, pues el sistema ya está desarrollado y en operación. El costo relevante es el costo fijo mensual repartido entre las evaluaciones vendidas en el mes:</w:t>
      </w:r>
    </w:p>
    <w:p>
      <w:pPr>
        <w:spacing w:before="80" w:after="160"/>
        <w:jc w:val="center"/>
      </w:pPr>
      <w:r>
        <w:rPr>
          <w:b/>
          <w:i/>
          <w:color w:val="1F497D"/>
        </w:rPr>
        <w:t>Costo unitario = Costo fijo mensual ÷ evaluaciones vendidas en el mes</w:t>
      </w:r>
    </w:p>
    <w:p>
      <w:pPr>
        <w:pStyle w:val="ListBullet"/>
      </w:pPr>
      <w:r>
        <w:t>30 evaluaciones/mes: 179.600 ÷ 30 = ~Gs. 6.000 por evaluación (escenario conservador).</w:t>
      </w:r>
    </w:p>
    <w:p>
      <w:pPr>
        <w:pStyle w:val="ListBullet"/>
      </w:pPr>
      <w:r>
        <w:t>50 evaluaciones/mes: 179.600 ÷ 50 = ~Gs. 3.592 por evaluación.</w:t>
      </w:r>
    </w:p>
    <w:p>
      <w:pPr>
        <w:pStyle w:val="ListBullet"/>
      </w:pPr>
      <w:r>
        <w:t>100 evaluaciones/mes: 179.600 ÷ 100 = ~Gs. 1.796 por evaluación.</w:t>
      </w:r>
    </w:p>
    <w:p>
      <w:pPr>
        <w:pStyle w:val="ListBullet"/>
      </w:pPr>
      <w:r>
        <w:t>200 evaluaciones/mes: 179.600 ÷ 200 = ~Gs. 898 por evaluación.</w:t>
      </w:r>
    </w:p>
    <w:p>
      <w:pPr>
        <w:spacing w:after="120"/>
      </w:pPr>
      <w:r>
        <w:rPr>
          <w:i w:val="0"/>
        </w:rPr>
        <w:t>Se adopta Gs. 6.000 como piso de costo para no subestimar en el escenario inicial.</w:t>
      </w:r>
    </w:p>
    <w:p>
      <w:pPr>
        <w:pStyle w:val="Heading2"/>
      </w:pPr>
      <w:r>
        <w:t>Derivación de los Precios</w:t>
      </w:r>
    </w:p>
    <w:p>
      <w:pPr>
        <w:spacing w:after="120"/>
      </w:pPr>
      <w:r>
        <w:rPr>
          <w:i w:val="0"/>
        </w:rPr>
        <w:t>Los precios no se fijan de forma arbitraria: se derivan combinando cuatro reglas estándar de pricing.</w:t>
      </w:r>
    </w:p>
    <w:p>
      <w:pPr>
        <w:pStyle w:val="Heading3"/>
      </w:pPr>
      <w:r>
        <w:t>Paso 1 — Piso de costo</w:t>
      </w:r>
    </w:p>
    <w:p>
      <w:pPr>
        <w:spacing w:after="120"/>
      </w:pPr>
      <w:r>
        <w:rPr>
          <w:i w:val="0"/>
        </w:rPr>
        <w:t>Costo operativo por evaluación en el escenario conservador: Gs. 6.000.</w:t>
      </w:r>
    </w:p>
    <w:p>
      <w:pPr>
        <w:pStyle w:val="Heading3"/>
      </w:pPr>
      <w:r>
        <w:t>Paso 2 — Margen sobre costo (markup)</w:t>
      </w:r>
    </w:p>
    <w:p>
      <w:pPr>
        <w:spacing w:before="80" w:after="160"/>
        <w:jc w:val="center"/>
      </w:pPr>
      <w:r>
        <w:rPr>
          <w:b/>
          <w:i/>
          <w:color w:val="1F497D"/>
        </w:rPr>
        <w:t>Precio = Costo ÷ (1 − margen deseado)</w:t>
      </w:r>
    </w:p>
    <w:p>
      <w:pPr>
        <w:spacing w:after="120"/>
      </w:pPr>
      <w:r>
        <w:rPr>
          <w:i w:val="0"/>
        </w:rPr>
        <w:t>Para servicios de software, donde el costo marginal es casi nulo, se aplica un margen alto (60-70%). Con margen 65%: 6.000 ÷ (1 − 0,65) = ~Gs. 17.000. Este valor supera el techo de valor, por lo que se ajusta hacia abajo.</w:t>
      </w:r>
    </w:p>
    <w:p>
      <w:pPr>
        <w:pStyle w:val="Heading3"/>
      </w:pPr>
      <w:r>
        <w:t>Paso 3 — Techo de valor (anclaje)</w:t>
      </w:r>
    </w:p>
    <w:p>
      <w:pPr>
        <w:spacing w:after="120"/>
      </w:pPr>
      <w:r>
        <w:rPr>
          <w:i w:val="0"/>
        </w:rPr>
        <w:t>El cliente no paga más de lo que le cuesta hacer la evaluación de forma manual. Una evaluación manual toma 20-40 min; a un costo de analista de ~Gs. 30.000-50.000/hora, equivale a Gs. 10.000-15.000 por evaluación manual. Ese es el techo: el precio debe quedar por debajo para que al cliente le convenga automatizar. Rango viable: piso Gs. 6.000 → techo Gs. 10.000-15.000.</w:t>
      </w:r>
    </w:p>
    <w:p>
      <w:pPr>
        <w:pStyle w:val="Heading3"/>
      </w:pPr>
      <w:r>
        <w:t>Paso 4 — Descuento por volumen</w:t>
      </w:r>
    </w:p>
    <w:p>
      <w:pPr>
        <w:spacing w:after="120"/>
      </w:pPr>
      <w:r>
        <w:rPr>
          <w:i w:val="0"/>
        </w:rPr>
        <w:t>A mayor volumen, menor precio unitario, lo que incentiva compras mayores sin que el costo marginal aumente. Partiendo del plan de entrada en la zona alta del rango:</w:t>
      </w:r>
    </w:p>
    <w:p>
      <w:pPr>
        <w:pStyle w:val="ListBullet"/>
      </w:pPr>
      <w:r>
        <w:rPr>
          <w:b/>
        </w:rPr>
        <w:t xml:space="preserve">Bronce (entrada, sin descuento): </w:t>
      </w:r>
      <w:r>
        <w:t>Gs. 10.000/evaluación.</w:t>
      </w:r>
    </w:p>
    <w:p>
      <w:pPr>
        <w:pStyle w:val="ListBullet"/>
      </w:pPr>
      <w:r>
        <w:rPr>
          <w:b/>
        </w:rPr>
        <w:t xml:space="preserve">Plata (−10%): </w:t>
      </w:r>
      <w:r>
        <w:t>Gs. 9.000/evaluación.</w:t>
      </w:r>
    </w:p>
    <w:p>
      <w:pPr>
        <w:pStyle w:val="ListBullet"/>
      </w:pPr>
      <w:r>
        <w:rPr>
          <w:b/>
        </w:rPr>
        <w:t xml:space="preserve">Oro (−20%): </w:t>
      </w:r>
      <w:r>
        <w:t>Gs. 8.000/evaluación.</w:t>
      </w:r>
    </w:p>
    <w:p>
      <w:pPr>
        <w:pStyle w:val="Heading3"/>
      </w:pPr>
      <w:r>
        <w:t>Precio final por reporte y por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Reportes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Precio por reporte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Precio del 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22"/>
              </w:rPr>
              <w:t>Margen vs. piso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Bronce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Gs. 10.000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Gs. 150.000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40%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Plata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Gs. 9.000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Gs. 270.000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33%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Oro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Gs. 8.000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Gs. 400.000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22"/>
              </w:rPr>
              <w:t>25%</w:t>
            </w:r>
          </w:p>
        </w:tc>
      </w:tr>
    </w:tbl>
    <w:p/>
    <w:p>
      <w:pPr>
        <w:spacing w:after="120"/>
      </w:pPr>
      <w:r>
        <w:rPr>
          <w:i w:val="0"/>
        </w:rPr>
        <w:t>Todos los precios quedan por encima del piso de costo (Gs. 6.000) y por debajo del techo de valor (Gs. 10.000-15.000), con un descuento por volumen coherente. Los precios propuestos originalmente quedan así validados por el cálculo.</w:t>
      </w:r>
    </w:p>
    <w:p>
      <w:pPr>
        <w:pStyle w:val="Heading2"/>
      </w:pPr>
      <w:r>
        <w:t>Punto de Equilibrio</w:t>
      </w:r>
    </w:p>
    <w:p>
      <w:pPr>
        <w:spacing w:before="80" w:after="160"/>
        <w:jc w:val="center"/>
      </w:pPr>
      <w:r>
        <w:rPr>
          <w:b/>
          <w:i/>
          <w:color w:val="1F497D"/>
        </w:rPr>
        <w:t>Punto de equilibrio (unidades) = Costos fijos mensuales ÷ margen de contribución por plan</w:t>
      </w:r>
    </w:p>
    <w:p>
      <w:pPr>
        <w:spacing w:after="120"/>
      </w:pPr>
      <w:r>
        <w:rPr>
          <w:i w:val="0"/>
        </w:rPr>
        <w:t>Como el costo variable por evaluación es casi nulo, el margen de contribución ≈ precio del plan. El costo de mantener el sistema por mes es Gs. 179.600.</w:t>
      </w:r>
    </w:p>
    <w:p>
      <w:pPr>
        <w:spacing w:after="120"/>
      </w:pPr>
      <w:r>
        <w:rPr>
          <w:i w:val="0"/>
        </w:rPr>
        <w:t>¿Cuántos clientes de cada plan cubren ese costo mensual?</w:t>
      </w:r>
    </w:p>
    <w:p>
      <w:pPr>
        <w:pStyle w:val="ListBullet"/>
      </w:pPr>
      <w:r>
        <w:rPr>
          <w:b/>
        </w:rPr>
        <w:t xml:space="preserve">Solo Bronce (Gs. 150.000 c/u): </w:t>
      </w:r>
      <w:r>
        <w:t>179.600 ÷ 150.000 = 1,2 → 2 clientes Bronce.</w:t>
      </w:r>
    </w:p>
    <w:p>
      <w:pPr>
        <w:pStyle w:val="ListBullet"/>
      </w:pPr>
      <w:r>
        <w:rPr>
          <w:b/>
        </w:rPr>
        <w:t xml:space="preserve">Solo Plata (Gs. 270.000 c/u): </w:t>
      </w:r>
      <w:r>
        <w:t>179.600 ÷ 270.000 = 0,67 → 1 cliente Plata.</w:t>
      </w:r>
    </w:p>
    <w:p>
      <w:pPr>
        <w:pStyle w:val="ListBullet"/>
      </w:pPr>
      <w:r>
        <w:rPr>
          <w:b/>
        </w:rPr>
        <w:t xml:space="preserve">Solo Oro (Gs. 400.000 c/u): </w:t>
      </w:r>
      <w:r>
        <w:t>179.600 ÷ 400.000 = 0,45 → 1 cliente Oro.</w:t>
      </w:r>
    </w:p>
    <w:p>
      <w:pPr>
        <w:spacing w:after="120"/>
      </w:pPr>
      <w:r>
        <w:rPr>
          <w:i w:val="0"/>
        </w:rPr>
        <w:t>Combinación de ejemplo que demuestra sostenibilidad:</w:t>
      </w:r>
    </w:p>
    <w:p>
      <w:pPr>
        <w:pStyle w:val="ListBullet"/>
      </w:pPr>
      <w:r>
        <w:t>1 Bronce (Gs. 150.000) + 1 Plata (Gs. 270.000) = Gs. 420.000 de ingreso mensual.</w:t>
      </w:r>
    </w:p>
    <w:p>
      <w:pPr>
        <w:pStyle w:val="ListBullet"/>
      </w:pPr>
      <w:r>
        <w:t>Costo fijo mensual: Gs. 179.600.</w:t>
      </w:r>
    </w:p>
    <w:p>
      <w:pPr>
        <w:pStyle w:val="ListBullet"/>
      </w:pPr>
      <w:r>
        <w:t>Superávit mensual: ~Gs. 240.400.</w:t>
      </w:r>
    </w:p>
    <w:p>
      <w:pPr>
        <w:spacing w:after="120"/>
      </w:pPr>
      <w:r>
        <w:rPr>
          <w:i w:val="0"/>
        </w:rPr>
        <w:t>Con un solo cliente Plata u Oro al mes el modelo ya cubre infraestructura, soporte y mantenimiento. Cualquier cliente adicional genera margen para reinvertir.</w:t>
      </w:r>
    </w:p>
    <w:p>
      <w:pPr>
        <w:pStyle w:val="Heading3"/>
      </w:pPr>
      <w:r>
        <w:t>Recuperación de la inversión inicial</w:t>
      </w:r>
    </w:p>
    <w:p>
      <w:pPr>
        <w:spacing w:after="120"/>
      </w:pPr>
      <w:r>
        <w:rPr>
          <w:i w:val="0"/>
        </w:rPr>
        <w:t>Si se destina el superávit a recuperar la inversión inicial (Gs. 9.532.200):</w:t>
      </w:r>
    </w:p>
    <w:p>
      <w:pPr>
        <w:pStyle w:val="ListBullet"/>
      </w:pPr>
      <w:r>
        <w:t>Con un superávit de ~Gs. 240.400/mes: 9.532.200 ÷ 240.400 ≈ 40 meses (~3,3 años).</w:t>
      </w:r>
    </w:p>
    <w:p>
      <w:pPr>
        <w:pStyle w:val="ListBullet"/>
      </w:pPr>
      <w:r>
        <w:t>Con 5 clientes Plata/mes (superávit ~Gs. 1.170.400): 9.532.200 ÷ 1.170.400 ≈ 8 meses.</w:t>
      </w:r>
    </w:p>
    <w:p>
      <w:pPr>
        <w:pStyle w:val="Heading2"/>
      </w:pPr>
      <w:r>
        <w:t>Conclusión</w:t>
      </w:r>
    </w:p>
    <w:p>
      <w:pPr>
        <w:spacing w:after="120"/>
      </w:pPr>
      <w:r>
        <w:rPr>
          <w:i w:val="0"/>
        </w:rPr>
        <w:t>El modelo propuesto es sostenible: basta un cliente Plata u Oro mensual para cubrir la totalidad de los costos recurrentes. Los precios de los planes (Gs. 10.000, 9.000 y 8.000 por reporte) se justifican porque:</w:t>
      </w:r>
    </w:p>
    <w:p>
      <w:pPr>
        <w:pStyle w:val="ListBullet"/>
      </w:pPr>
      <w:r>
        <w:t>superan el costo operativo por evaluación (margen positivo);</w:t>
      </w:r>
    </w:p>
    <w:p>
      <w:pPr>
        <w:pStyle w:val="ListBullet"/>
      </w:pPr>
      <w:r>
        <w:t>quedan por debajo del costo del proceso manual (ahorro de tiempo para la inmobiliaria);</w:t>
      </w:r>
    </w:p>
    <w:p>
      <w:pPr>
        <w:pStyle w:val="ListBullet"/>
      </w:pPr>
      <w:r>
        <w:t>aplican un descuento por volumen coherente.</w:t>
      </w:r>
    </w:p>
    <w:p>
      <w:pPr>
        <w:spacing w:after="120"/>
      </w:pPr>
      <w:r>
        <w:rPr>
          <w:i w:val="0"/>
        </w:rPr>
        <w:t>Estos precios se presentan como hipótesis comercial respaldada por el cálculo de costos y pendiente de ajuste según los resultados de la encuesta de disposición a pagar y las condiciones reales de los proveedores.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