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Anexo</w:t>
      </w:r>
    </w:p>
    <w:p>
      <w:r>
        <w:rPr>
          <w:rFonts w:ascii="Times New Roman" w:hAnsi="Times New Roman"/>
          <w:b/>
          <w:sz w:val="24"/>
        </w:rPr>
        <w:t>Manual Técnico</w:t>
      </w:r>
    </w:p>
    <w:p>
      <w:r>
        <w:rPr>
          <w:rFonts w:ascii="Times New Roman" w:hAnsi="Times New Roman"/>
          <w:b/>
          <w:i/>
          <w:sz w:val="24"/>
        </w:rPr>
        <w:t>Propósito del Documento</w:t>
      </w:r>
    </w:p>
    <w:p>
      <w:pPr>
        <w:ind w:firstLine="720"/>
      </w:pPr>
      <w:r>
        <w:rPr>
          <w:rFonts w:ascii="Times New Roman" w:hAnsi="Times New Roman"/>
        </w:rPr>
        <w:t>El presente manual técnico está dirigido al personal de Tecnologías de la Información (desarrolladores, administradores de sistemas y soporte técnico). Su objetivo es documentar la arquitectura, el stack tecnológico, los servicios (API REST), las validaciones aplicadas y los procedimientos exactos para la configuración, instalación y despliegue del sistema experto de evaluación de riesgo crediticio inmobiliario, tanto en un entorno de desarrollo como de producción.</w:t>
      </w:r>
    </w:p>
    <w:p>
      <w:pPr>
        <w:ind w:firstLine="720"/>
      </w:pPr>
      <w:r>
        <w:rPr>
          <w:rFonts w:ascii="Times New Roman" w:hAnsi="Times New Roman"/>
        </w:rPr>
        <w:t>El sistema es una plataforma SaaS multi-empresa (multi-tenant): un mismo despliegue atiende a varias empresas inmobiliarias, aislando sus datos mediante el identificador de empresa (id_empresa). Existe un propietario del sistema (operador de la plataforma) y, por cada empresa cliente, usuarios con rol administrador o comercial.</w:t>
      </w:r>
    </w:p>
    <w:p>
      <w:r>
        <w:rPr>
          <w:rFonts w:ascii="Times New Roman" w:hAnsi="Times New Roman"/>
          <w:b/>
          <w:i/>
          <w:sz w:val="24"/>
        </w:rPr>
        <w:t>Arquitectura</w:t>
      </w:r>
    </w:p>
    <w:p>
      <w:pPr>
        <w:ind w:firstLine="720"/>
      </w:pPr>
      <w:r>
        <w:rPr>
          <w:rFonts w:ascii="Times New Roman" w:hAnsi="Times New Roman"/>
        </w:rPr>
        <w:t>El sistema fue construido bajo una arquitectura Cliente-Servidor separada, implementando el patrón de diseño API RESTful.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Frontend (Capa de Presentación):</w:t>
      </w:r>
      <w:r>
        <w:rPr>
          <w:rFonts w:ascii="Times New Roman" w:hAnsi="Times New Roman"/>
        </w:rPr>
        <w:t xml:space="preserve"> Single Page Application (SPA) en React, responsable de la renderización dinámica de las interfaces de usuario en el navegador y de la gestión del estado (autenticación mediante React Context + localStorage).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Backend (Capa de Lógica y Datos):</w:t>
      </w:r>
      <w:r>
        <w:rPr>
          <w:rFonts w:ascii="Times New Roman" w:hAnsi="Times New Roman"/>
        </w:rPr>
        <w:t xml:space="preserve"> servidor web independiente y sin estado (stateless) en Flask, que expone los endpoints (API REST) para procesar las reglas de negocio, validar permisos por rol, ejecutar los motores de scoring y comunicarse con la base de datos.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Base de Datos (Capa de Persistencia):</w:t>
      </w:r>
      <w:r>
        <w:rPr>
          <w:rFonts w:ascii="Times New Roman" w:hAnsi="Times New Roman"/>
        </w:rPr>
        <w:t xml:space="preserve"> motor PostgreSQL accedido mediante el ORM Flask-SQLAlchemy, con triggers de auditoría a nivel de base de datos que distinguen el origen de cada operación.</w:t>
      </w:r>
    </w:p>
    <w:p>
      <w:pPr>
        <w:ind w:firstLine="720"/>
      </w:pPr>
      <w:r>
        <w:rPr>
          <w:rFonts w:ascii="Times New Roman" w:hAnsi="Times New Roman"/>
        </w:rPr>
        <w:t>El backend aplica el patrón Application Factory (create_app) y organiza la lógica en blueprints (un módulo por dominio de negocio), registrados bajo el prefijo /api/&lt;dominio&gt;. Los módulos con lógica de cálculo (evaluación por criterios y scoring experto) cuentan con un engine.py que encapsula el motor de inferencia.</w:t>
      </w:r>
    </w:p>
    <w:p>
      <w:r>
        <w:rPr>
          <w:rFonts w:ascii="Times New Roman" w:hAnsi="Times New Roman"/>
          <w:b/>
          <w:i/>
          <w:sz w:val="24"/>
        </w:rPr>
        <w:t>Tecnologías y Herramientas</w:t>
      </w:r>
    </w:p>
    <w:p>
      <w:pPr>
        <w:ind w:firstLine="720"/>
      </w:pPr>
      <w:r>
        <w:rPr>
          <w:rFonts w:ascii="Times New Roman" w:hAnsi="Times New Roman"/>
        </w:rPr>
        <w:t>A continuación se detalla el stack tecnológico del backend: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8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Tecnología / Versión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Lenguaje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Python 3.x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Framework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Flask 3.1.0 (Application Factory)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ORM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Flask-SQLAlchemy 3.1.1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Driver de BD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psycopg v3 (psycopg[binary] 3.2.3)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Autenticación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Flask-JWT-Extended 4.6.0 (access 8 h / refresh 30 d)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Segundo factor (2FA)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pyotp 2.9.0 + qrcode[pil] 7.4.2 (TOTP)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CORS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Flask-CORS 4.0.0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Generación de PDF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reportlab 4.2.2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Variables de entorno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python-dotenv 1.0.1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Hashing de contraseñas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werkzeug.security 3.1.3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Pasarela de pagos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Pagopar (Paraguay) vía requests 2.32.3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Servidor WSGI (prod.)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gunicorn 23.0.0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Stack tecnológico del frontend: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8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Tecnología / Versión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Framework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React 18.3 (JSX, sin TypeScript)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Build tool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Vite 5.4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Routing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react-router-dom 6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Cliente HTTP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Axios con interceptores (refresco de token)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Formularios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react-hook-form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Estilos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TailwindCSS 3.4 + PostCSS + Autoprefixer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Iconos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lucide-react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Gráficos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Recharts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Notificaciones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react-hot-toast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Estado global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React Context (AuthContext)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Base de datos: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Motor: PostgreSQL 15.x, accedido mediante el driver psycopg v3 (URI postgresql+psycopg://).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Base de datos por defecto: inmobiliaria_db.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Migraciones: scripts SQL manuales en backend/migrations/ (no se usa Alembic).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Nomenclatura: nombres de tablas y campos de dominio en español.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Dominio Paraguay: tipos de documento CI, RUC, PAS; montos en guaraníes (Gs); catálogo territorial de departamentos y ciudades; pasarela de pagos Pagopar.</w:t>
      </w:r>
    </w:p>
    <w:p>
      <w:r>
        <w:rPr>
          <w:rFonts w:ascii="Times New Roman" w:hAnsi="Times New Roman"/>
          <w:b/>
          <w:i/>
          <w:sz w:val="24"/>
        </w:rPr>
        <w:t>Modelo de Seguridad y Roles</w:t>
      </w:r>
    </w:p>
    <w:p>
      <w:pPr>
        <w:ind w:firstLine="720"/>
      </w:pPr>
      <w:r>
        <w:rPr>
          <w:rFonts w:ascii="Times New Roman" w:hAnsi="Times New Roman"/>
          <w:b/>
        </w:rPr>
        <w:t>Autenticación sin estado (JWT).</w:t>
      </w:r>
      <w:r>
        <w:rPr>
          <w:rFonts w:ascii="Times New Roman" w:hAnsi="Times New Roman"/>
        </w:rPr>
        <w:t xml:space="preserve"> Las sesiones no se guardan en el servidor. Tras autenticarse, el sistema emite un token de acceso con expiración de 8 horas y un token de refresco de 30 días. El frontend adjunta el token de acceso en el header Authorization: Bearer en cada petición protegida.</w:t>
      </w:r>
    </w:p>
    <w:p>
      <w:pPr>
        <w:ind w:firstLine="720"/>
      </w:pPr>
      <w:r>
        <w:rPr>
          <w:rFonts w:ascii="Times New Roman" w:hAnsi="Times New Roman"/>
          <w:b/>
        </w:rPr>
        <w:t>Segundo factor obligatorio (2FA / TOTP).</w:t>
      </w:r>
      <w:r>
        <w:rPr>
          <w:rFonts w:ascii="Times New Roman" w:hAnsi="Times New Roman"/>
        </w:rPr>
        <w:t xml:space="preserve"> El inicio de sesión aplica autenticación en dos pasos basada en TOTP (compatible con Google Authenticator), con generación de código QR y validación de un código de 6 dígitos.</w:t>
      </w:r>
    </w:p>
    <w:p>
      <w:pPr>
        <w:ind w:firstLine="720"/>
      </w:pPr>
      <w:r>
        <w:rPr>
          <w:rFonts w:ascii="Times New Roman" w:hAnsi="Times New Roman"/>
          <w:b/>
        </w:rPr>
        <w:t>Cifrado de credenciales.</w:t>
      </w:r>
      <w:r>
        <w:rPr>
          <w:rFonts w:ascii="Times New Roman" w:hAnsi="Times New Roman"/>
        </w:rPr>
        <w:t xml:space="preserve"> Las contraseñas se almacenan como hash no reversible generado con werkzeug.security; nunca se devuelven en texto plano.</w:t>
      </w:r>
    </w:p>
    <w:p>
      <w:pPr>
        <w:ind w:firstLine="720"/>
      </w:pPr>
      <w:r>
        <w:rPr>
          <w:rFonts w:ascii="Times New Roman" w:hAnsi="Times New Roman"/>
        </w:rPr>
        <w:t>Roles del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Valor interno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 del sistema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 (id_empresa = 0)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Acceso total: empresas, planes, motores/modelos de scoring; ve todas las empresas.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Administrador de empresa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administrador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Gestiona usuarios y datos de su empresa, configura evaluaciones, consulta auditoría.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Comercial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comercial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Registra clientes, ejecuta evaluaciones y consulta reportes de su empresa.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Decoradores de autorización: @jwt_required() (token válido), @roles_required(*roles) (roles permitidos), @admin_required (propietario o administrador) y @propietario_required (exclusivo del propietario del sistema).</w:t>
      </w:r>
    </w:p>
    <w:p>
      <w:pPr>
        <w:ind w:firstLine="720"/>
      </w:pPr>
      <w:r>
        <w:rPr>
          <w:rFonts w:ascii="Times New Roman" w:hAnsi="Times New Roman"/>
          <w:b/>
        </w:rPr>
        <w:t>Aislamiento multi-tenant.</w:t>
      </w:r>
      <w:r>
        <w:rPr>
          <w:rFonts w:ascii="Times New Roman" w:hAnsi="Times New Roman"/>
        </w:rPr>
        <w:t xml:space="preserve"> El propietario ve todos los registros; los usuarios de empresa solo acceden a los datos filtrados por su id_empresa. </w:t>
      </w:r>
      <w:r>
        <w:rPr>
          <w:rFonts w:ascii="Times New Roman" w:hAnsi="Times New Roman"/>
          <w:b/>
        </w:rPr>
        <w:t>Protección CORS:</w:t>
      </w:r>
      <w:r>
        <w:rPr>
          <w:rFonts w:ascii="Times New Roman" w:hAnsi="Times New Roman"/>
        </w:rPr>
        <w:t xml:space="preserve"> en producción se restringe a los orígenes de CORS_ORIGINS / FRONTEND_URL. </w:t>
      </w:r>
      <w:r>
        <w:rPr>
          <w:rFonts w:ascii="Times New Roman" w:hAnsi="Times New Roman"/>
          <w:b/>
        </w:rPr>
        <w:t>Variables de entorno:</w:t>
      </w:r>
      <w:r>
        <w:rPr>
          <w:rFonts w:ascii="Times New Roman" w:hAnsi="Times New Roman"/>
        </w:rPr>
        <w:t xml:space="preserve"> los archivos .env están excluidos del control de versiones; en producción SECRET_KEY y JWT_SECRET_KEY son obligatorias (mínimo 32 caracteres).</w:t>
      </w:r>
    </w:p>
    <w:p>
      <w:r>
        <w:rPr>
          <w:rFonts w:ascii="Times New Roman" w:hAnsi="Times New Roman"/>
          <w:b/>
          <w:i/>
          <w:sz w:val="24"/>
        </w:rPr>
        <w:t>Convenciones de la API</w:t>
      </w:r>
    </w:p>
    <w:p>
      <w:pPr>
        <w:ind w:firstLine="720"/>
      </w:pPr>
      <w:r>
        <w:rPr>
          <w:rFonts w:ascii="Times New Roman" w:hAnsi="Times New Roman"/>
        </w:rPr>
        <w:t>Todas las respuestas JSON siguen la estructura {success, message, data}. Los errores devuelven {success: false, message, details?}. Base de la API: prefijo /api.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Código HTTP</w:t>
            </w:r>
          </w:p>
        </w:tc>
        <w:tc>
          <w:tcPr>
            <w:tcW w:type="dxa" w:w="468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Significado en el sistema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Operación exitosa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201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Recurso creado correctamente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Datos inválidos o campos obligatorios faltantes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401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 autenticado / credenciales u OTP incorrectos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403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Autenticado pero sin permisos (rol o empresa)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404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Recurso no encontrado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409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Conflicto (dato duplicado: documento, email, RUC)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500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Error interno del servidor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502 / 503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Error o indisponibilidad de la pasarela de pagos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Paginación estándar: parámetros page (por defecto 1) y per_page (por defecto 20; 25 en auditoría). Respuesta con items, total, page, pages y per_page. Health check: GET /api/health devuelve {status: ok, env}.</w:t>
      </w:r>
    </w:p>
    <w:p>
      <w:r>
        <w:rPr>
          <w:rFonts w:ascii="Times New Roman" w:hAnsi="Times New Roman"/>
          <w:b/>
          <w:i/>
          <w:sz w:val="24"/>
        </w:rPr>
        <w:t>Catálogo de Servicios (API REST)</w:t>
      </w:r>
    </w:p>
    <w:p>
      <w:r>
        <w:rPr>
          <w:rFonts w:ascii="Times New Roman" w:hAnsi="Times New Roman"/>
          <w:b/>
          <w:sz w:val="24"/>
        </w:rPr>
        <w:t>1. Autenticación — /api/auth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Seguridad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/login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Pública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Inicia sesión; devuelve estado de 2FA o autenticado.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/2fa/setup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Token parcial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Valida el primer OTP y activa el 2FA.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/2fa/verify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Token parcial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Valida el OTP en cada login.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/2fa/reset/&lt;user_id&gt;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Restablece el 2FA de un usuario.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/change-password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Cambia la contraseña del usuario.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/forgot-password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Pública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Restablece contraseña validando OTP.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/refresh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 refresh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Emite un nuevo token de acceso.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/me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Datos del usuario autenticado.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/logout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Cierra la sesión (auditoría).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/security/users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usuarios con estado de 2FA.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Campos y validaciones principales: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/login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email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 vacío; se normaliza a minúsculas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/login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password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Se compara contra el hash (401 si falla; 403 si inactivo)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/2fa/setup, /verify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codigo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6 dígitos; OTP válido (401 si no)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/change-password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current_password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Debe coincidir con la actual (401)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/change-password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new_password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Longitud mínima 8 caracteres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/change-password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confirm_password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Igual a new_password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2. Clientes — /api/clients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Seguridad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paginada de clientes (filtra por empresa).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/&lt;client_id&gt;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Detalle del cliente con sus documentos.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Registra o vincula un cliente a la empresa.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/&lt;client_id&gt;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Actualiza datos (audita cambios).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DELETE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/&lt;client_id&gt;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Soft-delete: desvincula/inactiva.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/paises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Catálogo de países.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/departamentos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Catálogo de departamentos (Paraguay).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/departamentos/&lt;id&gt;/ciudades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Ciudades de un departamento.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Parámetros del listado: page, per_page, search (OR por nombre/apellido/num_doc/email), num_doc, nombre, apellido (AND, tipo contiene). Campos del cliente y validaciones: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Validación funcional / de servicio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tipo_doc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Uno de CI, RUC, PAS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num_doc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Único; si existe se vincula a la empresa (409 si ya activo)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nombre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 vacío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apellido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email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Se normaliza; null si vacío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telefono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Solo dígitos y + - ( ) espacio; sin letras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direccion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fecha_nacimiento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YYYY-MM-DD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ISO; no futura; mayor de edad (&gt;= 18)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nacionalidad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string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FK a país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id_ciudad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FK a ciudad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id_empresa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Solo el propietario puede indicarlo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3. Evaluación por Criterios Ponderados — /api/evaluations</w:t>
      </w:r>
    </w:p>
    <w:p>
      <w:pPr>
        <w:ind w:firstLine="720"/>
      </w:pPr>
      <w:r>
        <w:rPr>
          <w:rFonts w:ascii="Times New Roman" w:hAnsi="Times New Roman"/>
        </w:rPr>
        <w:t>Motor que normaliza cada valor a 0–100, lo pondera por el peso del criterio activo y normaliza por el peso total. Umbrales: &gt;= 70 aprobado, &gt;= 50 observado, &lt; 50 rechazado.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Seguridad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/criteria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de criterios.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/criteria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Crea un criterio.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/criteria/&lt;id&gt;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Edita un criterio.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paginada (filtros cliente_id, resultado).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/&lt;eval_id&gt;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Detalle con detalles y datos del cliente.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Registra una evaluación por criterios.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/&lt;eval_id&gt;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Actualiza observaciones/estado.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/criteria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nombre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 vacío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/criteria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peso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Numérico 0 &lt; peso &lt;= 100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cliente_id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El cliente debe existir (404)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detalles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{criterio_id, valor, comentario?}; valor acotado 0–100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observaciones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4. Scoring Experto IF-THEN (motor de reglas v1) — /api/scoring</w:t>
      </w:r>
    </w:p>
    <w:p>
      <w:pPr>
        <w:ind w:firstLine="720"/>
      </w:pPr>
      <w:r>
        <w:rPr>
          <w:rFonts w:ascii="Times New Roman" w:hAnsi="Times New Roman"/>
        </w:rPr>
        <w:t>Motor de inferencia IF-THEN. Operadores: &gt;=, &lt;=, ==, &gt;, &lt;, !=. Tipos: numerico, texto, booleano. Las reglas determinantes provocan rechazo inmediato. Clasificación por porcentaje sobre el máximo: &gt;= 75 % bajo, &gt;= 50 % medio, &lt; 50 % alto; determinante fallida: rechazado.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Seguridad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/motores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de motores de reglas.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/motores/&lt;id&gt;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Detalle del motor con sus reglas.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/motores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 + propietario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Crea un motor.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/motores/&lt;id&gt;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 + propietario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Edita un motor.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PATCH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/motores/&lt;id&gt;/toggle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Activa/desactiva el motor.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/motores/&lt;id&gt;/reglas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de reglas del motor.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/motores/&lt;id&gt;/reglas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 + propietario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Crea una regla.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/reglas/&lt;id&gt;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Edita una regla.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PATCH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/reglas/&lt;id&gt;/toggle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Activa/desactiva la regla.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DELETE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/reglas/&lt;id&gt;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Elimina la regla.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/historial/&lt;cliente_id&gt;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Historial crediticio del cliente.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/historial/&lt;cliente_id&gt;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Upsert del historial crediticio.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/evaluar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Ejecuta el motor sobre un cliente.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/evaluaciones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paginada de evaluaciones.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/evaluaciones/&lt;id&gt;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Detalle con recomendación.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/parametros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Parámetros y operadores disponibles.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Validaciones de reglas (POST /motores/&lt;id&gt;/reglas):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nombre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 vacío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parametro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Debe pertenecer al catálogo de parámetros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operador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Uno de &gt;=, &lt;=, ==, &gt;, &lt;, !=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valor_referencia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Se castea según tipo_valor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peso_puntos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Número positivo (&gt; 0)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es_determinante / activo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Booleanos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Validaciones de la evaluación (POST /evaluar):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cliente_id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El cliente debe existir (404)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motor_id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El motor debe existir y estar activo (400)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hechos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Dict de valores; se enriquece con historial y edad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observaciones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operacion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tipo_propiedad, valor_propiedad, monto_solicitado, plazo_meses, etc.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5. Core de Scoring (motor configurable v2) — /api/core</w:t>
      </w:r>
    </w:p>
    <w:p>
      <w:pPr>
        <w:ind w:firstLine="720"/>
      </w:pPr>
      <w:r>
        <w:rPr>
          <w:rFonts w:ascii="Times New Roman" w:hAnsi="Times New Roman"/>
        </w:rPr>
        <w:t>Motor por factores → reglas → niveles → pesos → score → clasificación → explicación, configurable por empresa. Es el motor que consumen reportes y facturación. Verifica listas negras (ONU/OFAC) y genera PDF por evaluación.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Seguridad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/evaluar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Ejecuta el modelo y registra consumo de facturación.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/evaluaciones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paginada (filtro clasificacion).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/evaluaciones/&lt;id&gt;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Detalle con impacto de factores.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/evaluaciones/&lt;id&gt;/pdf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Genera el PDF de la evaluación.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/verificar-lista-negra/&lt;id&gt;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Verifica contra la lista negra.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/modelos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de modelos de scoring.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/modelos/&lt;id&gt;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Detalle del modelo con factores.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/modelos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Crea un modelo (opcional desde plantilla).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/modelos/clonar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Clona un modelo completo.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DELETE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/modelos/&lt;id&gt;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Elimina (físico o soft-delete).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/modelos/&lt;id&gt;/factores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Agrega un factor.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/factores/&lt;id&gt;/reglas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Agrega una regla al factor.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/modelos/&lt;id&gt;/umbrales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Define los umbrales.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Validaciones de la evaluación (POST /evaluar):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cliente_id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El cliente debe existir (404)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modelo_id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El modelo debe existir y estar activo (400)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datos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Dict {codigo_factor: valor}; validado por tipo, no negativos, catálogo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tipo_persona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PF o PJ; autodetecta (RUC -&gt; PJ, resto -&gt; PF)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Si la empresa tiene las consultas bloqueadas por deuda, la evaluación responde 403 (control del servicio de facturación).</w:t>
      </w:r>
    </w:p>
    <w:p>
      <w:r>
        <w:rPr>
          <w:rFonts w:ascii="Times New Roman" w:hAnsi="Times New Roman"/>
          <w:b/>
          <w:sz w:val="24"/>
        </w:rPr>
        <w:t>6. Reportes — /api/reports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Seguridad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/summary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Totales del dashboard por nivel de riesgo.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/evaluations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Listado de evaluaciones con filtros.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/evaluations/pdf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Exporta el listado como PDF (A4 horizontal).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Filtros: fecha_from, fecha_to (ISO), resultado o categoria (nivel de riesgo), evaluador_id.</w:t>
      </w:r>
    </w:p>
    <w:p>
      <w:r>
        <w:rPr>
          <w:rFonts w:ascii="Times New Roman" w:hAnsi="Times New Roman"/>
          <w:b/>
          <w:sz w:val="24"/>
        </w:rPr>
        <w:t>7. Empresas — /api/empresas</w:t>
      </w:r>
    </w:p>
    <w:p>
      <w:pPr>
        <w:ind w:firstLine="720"/>
      </w:pPr>
      <w:r>
        <w:rPr>
          <w:rFonts w:ascii="Times New Roman" w:hAnsi="Times New Roman"/>
        </w:rPr>
        <w:t>Gestión de empresas cliente y de sus usuarios. Todos los endpoints requieren propietario_required.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de empresas.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/&lt;id&gt;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Detalle de la empresa con sus usuarios.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Crea una empresa.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/&lt;id&gt;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Edita una empresa.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PATCH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/&lt;id&gt;/toggle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Activa/desactiva la empresa.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/&lt;id&gt;/usuarios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Usuarios de la empresa.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/&lt;id&gt;/usuarios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Crea un usuario de empresa.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/usuarios/&lt;user_id&gt;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Edita un usuario (no al propietario, 403).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PATCH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/usuarios/&lt;user_id&gt;/toggle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Activa/desactiva un usuario.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Oblig.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nombre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 vacío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ruc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Único (409 si duplicado)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/&lt;id&gt;/usuarios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nombre, apellido, email, password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Sí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email único (409)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/&lt;id&gt;/usuarios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rol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administrador o comercial (por defecto comercial)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8. Facturación — /api/facturacion</w:t>
      </w:r>
    </w:p>
    <w:p>
      <w:pPr>
        <w:ind w:firstLine="720"/>
      </w:pPr>
      <w:r>
        <w:rPr>
          <w:rFonts w:ascii="Times New Roman" w:hAnsi="Times New Roman"/>
        </w:rPr>
        <w:t>Modelo prepago por reportes consumidos, con planes, períodos mensuales y pagos (TEST o Pagopar). El consumo bloquea/desbloquea automáticamente las consultas de la empresa según su saldo.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Seguridad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/planes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Planes activos.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/planes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Crea un plan.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/planes/&lt;id&gt;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Edita un plan.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/mi-plan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Plan y consumo del período actual.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/mi-historial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Historial de períodos.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/pagos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Crea un pago (modo TEST).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/pagos/&lt;id&gt;/test-aprobar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Aprueba un pago y desbloquea.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/pagos/&lt;id&gt;/test-rechazar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Rechaza un pago de prueba.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/pagos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de pagos.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/pagos/pagopar/iniciar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jwt_required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Inicia un pago real en Pagopar.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/pagopar/webhook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Pública (token)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Notificación de pago de Pagopar.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/admin/empresas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Facturación de todas las empresas.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/admin/empresas/&lt;id&gt;/asignar-plan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Asigna un plan.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/admin/empresas/&lt;id&gt;/bloquear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Bloquea consultas.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/admin/empresas/&lt;id&gt;/desbloquear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propietario_required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Desbloquea consultas.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Campos obligatorios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/planes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nombre, cantidad_reportes_incluidos, precio_plan, precio_reporte_sobre_facturado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Montos en Gs (enteros)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/pagos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periodo_facturacion_id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Valida empresa propia (403); monto opcional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 /admin/.../asignar-plan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plan_id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Finaliza el plan anterior y crea el nuevo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9. Auditoría — /api/auditoria</w:t>
      </w:r>
    </w:p>
    <w:p>
      <w:pPr>
        <w:ind w:firstLine="720"/>
      </w:pPr>
      <w:r>
        <w:rPr>
          <w:rFonts w:ascii="Times New Roman" w:hAnsi="Times New Roman"/>
        </w:rPr>
        <w:t>Consulta de la bitácora (solo lectura). Acceso para administradores; el propietario ve todas las empresas, el administrador solo la suya.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Seguridad</w:t>
            </w:r>
          </w:p>
        </w:tc>
        <w:tc>
          <w:tcPr>
            <w:tcW w:type="dxa" w:w="234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paginada de eventos (per_page = 25).</w:t>
            </w:r>
          </w:p>
        </w:tc>
      </w:tr>
      <w:tr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/filtros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</w:t>
            </w:r>
          </w:p>
        </w:tc>
        <w:tc>
          <w:tcPr>
            <w:tcW w:type="dxa" w:w="234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Catálogos para los filtros.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</w:rPr>
        <w:t>Filtros: fecha_from, fecha_to (YYYY-MM-DD; 400 si inválido), usuario_id, tipo_evento, accion, modulo, resultado (EXITO/FALLO), id_empresa (solo propietario), search. Tipos de evento: AUTENTICACION, SEGURIDAD, USUARIOS, EMPRESAS, CLIENTES, EVALUACIONES, FACTURACION.</w:t>
      </w:r>
    </w:p>
    <w:p>
      <w:r>
        <w:rPr>
          <w:rFonts w:ascii="Times New Roman" w:hAnsi="Times New Roman"/>
          <w:b/>
          <w:sz w:val="24"/>
        </w:rPr>
        <w:t>10. Usuarios — /api/users</w:t>
      </w:r>
    </w:p>
    <w:p>
      <w:pPr>
        <w:ind w:firstLine="720"/>
      </w:pPr>
      <w:r>
        <w:rPr>
          <w:rFonts w:ascii="Times New Roman" w:hAnsi="Times New Roman"/>
        </w:rPr>
        <w:t>Módulo administrativo de usuarios (todos con admin_required). La gestión operativa de usuarios de empresa se realiza preferentemente desde el módulo Empresas.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Lista de usuarios.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/&lt;user_id&gt;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Detalle del usuario.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Crea un usuario (email único -&gt; 409).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/&lt;user_id&gt;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Edita el usuario.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PATCH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/&lt;user_id&gt;/toggle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Activa/desactiva el usuario.</w:t>
            </w:r>
          </w:p>
        </w:tc>
      </w:tr>
    </w:tbl>
    <w:p/>
    <w:p>
      <w:r>
        <w:rPr>
          <w:rFonts w:ascii="Times New Roman" w:hAnsi="Times New Roman"/>
          <w:b/>
          <w:i/>
          <w:sz w:val="24"/>
        </w:rPr>
        <w:t>Resumen de Validaciones a Nivel de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Tipo de validación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Dónde se aplica</w:t>
            </w:r>
          </w:p>
        </w:tc>
        <w:tc>
          <w:tcPr>
            <w:tcW w:type="dxa" w:w="3120"/>
            <w:shd w:val="clear" w:color="auto" w:fill="1F3864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Campos obligatorios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POST/PUT con cuerpo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400 con 'Campos requeridos: ...'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Autenticación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Endpoints protegidos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401 si falta/invalida el token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Autorización por rol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admin/propietario/roles_required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403 si el rol no corresponde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Aislamiento por empresa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Clientes, evaluaciones, reportes, etc.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Filtro por id_empresa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Unicidad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num_doc, email, ruc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409 cuando ya existe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Formato de documento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tipo_doc del cliente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Solo CI, RUC, PAS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Formato de teléfono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telefono del cliente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Solo dígitos y + - ( ) espacio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Edad mínima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fecha_nacimiento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Mayor de edad (&gt;= 18) y no futura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Rangos numéricos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peso (0–100), peso_puntos (&gt; 0)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400 si fuera de rango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Enumeraciones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operadores, niveles, estados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400 si no pertenece al conjunto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Estado del motor/modelo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Evaluaciones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400 si no está activo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Facturación / bloqueo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Core /evaluar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403 si la empresa está bloqueada por deuda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Segundo factor (OTP)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Login y recuperación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Código de 6 dígitos; 401 si incorrecto</w:t>
            </w:r>
          </w:p>
        </w:tc>
      </w:tr>
    </w:tbl>
    <w:p/>
    <w:p>
      <w:r>
        <w:rPr>
          <w:rFonts w:ascii="Times New Roman" w:hAnsi="Times New Roman"/>
          <w:b/>
          <w:i/>
          <w:sz w:val="24"/>
        </w:rPr>
        <w:t>Configuración del Entorno</w:t>
      </w:r>
    </w:p>
    <w:p>
      <w:pPr>
        <w:ind w:firstLine="720"/>
      </w:pPr>
      <w:r>
        <w:rPr>
          <w:rFonts w:ascii="Times New Roman" w:hAnsi="Times New Roman"/>
        </w:rPr>
        <w:t>Para desplegar la aplicación en un nuevo servidor o estación de trabajo, el equipo debe contar obligatoriamente con el siguiente software instalado: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Python 3.x y el gestor de paquetes pip.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Node.js (v18.x o superior) y su gestor de paquetes npm.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Servidor PostgreSQL 15.x local o en red, con la base de datos inmobiliaria_db creada.</w:t>
      </w:r>
    </w:p>
    <w:p>
      <w:pPr>
        <w:pStyle w:val="ListBullet"/>
        <w:spacing w:line="480" w:lineRule="auto"/>
      </w:pPr>
      <w:r>
        <w:rPr>
          <w:rFonts w:ascii="Times New Roman" w:hAnsi="Times New Roman"/>
        </w:rPr>
        <w:t>Git (para el control de versiones y la clonación del proyecto).</w:t>
      </w:r>
    </w:p>
    <w:p>
      <w:r>
        <w:rPr>
          <w:rFonts w:ascii="Times New Roman" w:hAnsi="Times New Roman"/>
          <w:b/>
          <w:i/>
          <w:sz w:val="24"/>
        </w:rPr>
        <w:t>Instalación y Plan de Despliegue</w:t>
      </w:r>
    </w:p>
    <w:p>
      <w:r>
        <w:rPr>
          <w:rFonts w:ascii="Times New Roman" w:hAnsi="Times New Roman"/>
          <w:b/>
          <w:sz w:val="24"/>
        </w:rPr>
        <w:t>Paso 1: Clonación del Repositorio</w:t>
      </w:r>
    </w:p>
    <w:p>
      <w:pPr>
        <w:ind w:firstLine="720"/>
      </w:pPr>
      <w:r>
        <w:rPr>
          <w:rFonts w:ascii="Times New Roman" w:hAnsi="Times New Roman"/>
        </w:rPr>
        <w:t>Descargar el código fuente en el directorio local:</w:t>
      </w:r>
    </w:p>
    <w:p>
      <w:pPr>
        <w:spacing w:line="240" w:lineRule="auto"/>
        <w:ind w:left="720"/>
      </w:pPr>
      <w:r>
        <w:rPr>
          <w:rFonts w:ascii="Consolas" w:hAnsi="Consolas"/>
          <w:sz w:val="18"/>
        </w:rPr>
        <w:t>git clone [URL_DEL_REPOSITORIO]</w:t>
      </w:r>
      <w:r>
        <w:br/>
      </w:r>
      <w:r>
        <w:rPr>
          <w:rFonts w:ascii="Consolas" w:hAnsi="Consolas"/>
          <w:sz w:val="18"/>
        </w:rPr>
        <w:t>cd V.0.1</w:t>
      </w:r>
    </w:p>
    <w:p>
      <w:r>
        <w:rPr>
          <w:rFonts w:ascii="Times New Roman" w:hAnsi="Times New Roman"/>
          <w:b/>
          <w:sz w:val="24"/>
        </w:rPr>
        <w:t>Paso 2: Despliegue y Configuración del Backend (API)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Navegar a la carpeta del backend: cd backend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Crear y activar un entorno virtual: python -m venv venv y activarlo.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Instalar las dependencias: pip install -r requirements.txt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Crear el archivo .env en la raíz del backend (puede copiarse de .env.example) con las credenciales de conexión:</w:t>
      </w:r>
    </w:p>
    <w:p>
      <w:pPr>
        <w:spacing w:line="240" w:lineRule="auto"/>
        <w:ind w:left="720"/>
      </w:pPr>
      <w:r>
        <w:rPr>
          <w:rFonts w:ascii="Consolas" w:hAnsi="Consolas"/>
          <w:sz w:val="18"/>
        </w:rPr>
        <w:t>FLASK_ENV=development</w:t>
      </w:r>
      <w:r>
        <w:br/>
      </w:r>
      <w:r>
        <w:rPr>
          <w:rFonts w:ascii="Consolas" w:hAnsi="Consolas"/>
          <w:sz w:val="18"/>
        </w:rPr>
        <w:t>SECRET_KEY=clave_aleatoria_de_al_menos_32_caracteres</w:t>
      </w:r>
      <w:r>
        <w:br/>
      </w:r>
      <w:r>
        <w:rPr>
          <w:rFonts w:ascii="Consolas" w:hAnsi="Consolas"/>
          <w:sz w:val="18"/>
        </w:rPr>
        <w:t>JWT_SECRET_KEY=otra_clave_aleatoria_distinta_de_32_caracteres</w:t>
      </w:r>
      <w:r>
        <w:br/>
      </w:r>
      <w:r>
        <w:rPr>
          <w:rFonts w:ascii="Consolas" w:hAnsi="Consolas"/>
          <w:sz w:val="18"/>
        </w:rPr>
        <w:t>DATABASE_URL=postgresql+psycopg://inmobiliaria:CAMBIAR@localhost:5432/inmobiliaria_db</w:t>
      </w:r>
      <w:r>
        <w:br/>
      </w:r>
      <w:r>
        <w:rPr>
          <w:rFonts w:ascii="Consolas" w:hAnsi="Consolas"/>
          <w:sz w:val="18"/>
        </w:rPr>
        <w:t>DB_HOST=localhost</w:t>
      </w:r>
      <w:r>
        <w:br/>
      </w:r>
      <w:r>
        <w:rPr>
          <w:rFonts w:ascii="Consolas" w:hAnsi="Consolas"/>
          <w:sz w:val="18"/>
        </w:rPr>
        <w:t>DB_PORT=5432</w:t>
      </w:r>
      <w:r>
        <w:br/>
      </w:r>
      <w:r>
        <w:rPr>
          <w:rFonts w:ascii="Consolas" w:hAnsi="Consolas"/>
          <w:sz w:val="18"/>
        </w:rPr>
        <w:t>DB_NAME=inmobiliaria_db</w:t>
      </w:r>
      <w:r>
        <w:br/>
      </w:r>
      <w:r>
        <w:rPr>
          <w:rFonts w:ascii="Consolas" w:hAnsi="Consolas"/>
          <w:sz w:val="18"/>
        </w:rPr>
        <w:t>DB_USER=inmobiliaria</w:t>
      </w:r>
      <w:r>
        <w:br/>
      </w:r>
      <w:r>
        <w:rPr>
          <w:rFonts w:ascii="Consolas" w:hAnsi="Consolas"/>
          <w:sz w:val="18"/>
        </w:rPr>
        <w:t>DB_PASSWORD=CAMBIAR</w:t>
      </w:r>
      <w:r>
        <w:br/>
      </w:r>
      <w:r>
        <w:rPr>
          <w:rFonts w:ascii="Consolas" w:hAnsi="Consolas"/>
          <w:sz w:val="18"/>
        </w:rPr>
        <w:t>FRONTEND_URL=http://localhost:3000</w:t>
      </w:r>
      <w:r>
        <w:br/>
      </w:r>
      <w:r>
        <w:rPr>
          <w:rFonts w:ascii="Consolas" w:hAnsi="Consolas"/>
          <w:sz w:val="18"/>
        </w:rPr>
        <w:t>BACKEND_URL=http://localhost:5000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Ejecutar los scripts SQL de migración de backend/migrations/ para construir las tablas.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Ejecutar el seed inicial para crear el usuario administrador y los criterios por defecto: python seed.py (usuario admin@inmobiliaria.com; cambie la contraseña tras el primer acceso).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Iniciar el servidor backend: python run.py (escucha en el puerto 5000; en producción se recomienda gunicorn).</w:t>
      </w:r>
    </w:p>
    <w:p>
      <w:r>
        <w:rPr>
          <w:rFonts w:ascii="Times New Roman" w:hAnsi="Times New Roman"/>
          <w:b/>
          <w:sz w:val="24"/>
        </w:rPr>
        <w:t>Paso 3: Despliegue del Frontend (Cliente Web)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Abrir una nueva terminal y navegar a la carpeta del cliente: cd frontend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Instalar las dependencias: npm install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Crear el archivo .env del cliente apuntando a la API:</w:t>
      </w:r>
    </w:p>
    <w:p>
      <w:pPr>
        <w:spacing w:line="240" w:lineRule="auto"/>
        <w:ind w:left="720"/>
      </w:pPr>
      <w:r>
        <w:rPr>
          <w:rFonts w:ascii="Consolas" w:hAnsi="Consolas"/>
          <w:sz w:val="18"/>
        </w:rPr>
        <w:t>VITE_API_URL=http://localhost:5000/api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Compilar y ejecutar el entorno de desarrollo: npm run dev (puerto 3000, con proxy al backend en el puerto 5000).</w:t>
      </w:r>
    </w:p>
    <w:p>
      <w:pPr>
        <w:pStyle w:val="ListNumber"/>
        <w:spacing w:line="480" w:lineRule="auto"/>
      </w:pPr>
      <w:r>
        <w:rPr>
          <w:rFonts w:ascii="Times New Roman" w:hAnsi="Times New Roman"/>
        </w:rPr>
        <w:t>Para la compilación de producción: npm run build</w:t>
      </w:r>
    </w:p>
    <w:p>
      <w:r>
        <w:rPr>
          <w:rFonts w:ascii="Times New Roman" w:hAnsi="Times New Roman"/>
          <w:b/>
          <w:i/>
          <w:sz w:val="24"/>
        </w:rPr>
        <w:t>Seguridad Mínima Aplicada</w:t>
      </w:r>
    </w:p>
    <w:p>
      <w:pPr>
        <w:ind w:firstLine="720"/>
      </w:pPr>
      <w:r>
        <w:rPr>
          <w:rFonts w:ascii="Times New Roman" w:hAnsi="Times New Roman"/>
        </w:rPr>
        <w:t>El entorno de despliegue cuenta con las siguientes políticas de seguridad técnica activas: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Autenticación sin estado (JWT):</w:t>
      </w:r>
      <w:r>
        <w:rPr>
          <w:rFonts w:ascii="Times New Roman" w:hAnsi="Times New Roman"/>
        </w:rPr>
        <w:t xml:space="preserve"> token de acceso (8 h) en el header Authorization: Bearer y token de refresco (30 d).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Segundo factor obligatorio (2FA / TOTP):</w:t>
      </w:r>
      <w:r>
        <w:rPr>
          <w:rFonts w:ascii="Times New Roman" w:hAnsi="Times New Roman"/>
        </w:rPr>
        <w:t xml:space="preserve"> código temporal de 6 dígitos (Google Authenticator) para iniciar sesión.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Cifrado de credenciales:</w:t>
      </w:r>
      <w:r>
        <w:rPr>
          <w:rFonts w:ascii="Times New Roman" w:hAnsi="Times New Roman"/>
        </w:rPr>
        <w:t xml:space="preserve"> contraseñas almacenadas como hash no reversible con Werkzeug.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Autorización por rol y por empresa:</w:t>
      </w:r>
      <w:r>
        <w:rPr>
          <w:rFonts w:ascii="Times New Roman" w:hAnsi="Times New Roman"/>
        </w:rPr>
        <w:t xml:space="preserve"> validación de rol y aislamiento por id_empresa.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Protección CORS:</w:t>
      </w:r>
      <w:r>
        <w:rPr>
          <w:rFonts w:ascii="Times New Roman" w:hAnsi="Times New Roman"/>
        </w:rPr>
        <w:t xml:space="preserve"> en producción se rechazan dominios no autorizados.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Protección de variables de entorno:</w:t>
      </w:r>
      <w:r>
        <w:rPr>
          <w:rFonts w:ascii="Times New Roman" w:hAnsi="Times New Roman"/>
        </w:rPr>
        <w:t xml:space="preserve"> archivos .env excluidos del control de versiones; claves obligatorias de &gt;= 32 caracteres en producción.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Auditoría integral:</w:t>
      </w:r>
      <w:r>
        <w:rPr>
          <w:rFonts w:ascii="Times New Roman" w:hAnsi="Times New Roman"/>
        </w:rPr>
        <w:t xml:space="preserve"> operaciones sensibles registradas en la bitácora, reforzadas con triggers a nivel de base de datos.</w:t>
      </w:r>
    </w:p>
    <w:p>
      <w:pPr>
        <w:pStyle w:val="ListBullet"/>
        <w:spacing w:line="480" w:lineRule="auto"/>
      </w:pPr>
      <w:r>
        <w:rPr>
          <w:rFonts w:ascii="Times New Roman" w:hAnsi="Times New Roman"/>
          <w:b/>
        </w:rPr>
        <w:t>Endurecimiento de cookies:</w:t>
      </w:r>
      <w:r>
        <w:rPr>
          <w:rFonts w:ascii="Times New Roman" w:hAnsi="Times New Roman"/>
        </w:rPr>
        <w:t xml:space="preserve"> HttpOnly, SameSite=Lax y Secure en producción.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left"/>
        <w:tab w:pos="9360" w:val="left"/>
      </w:tabs>
    </w:pPr>
    <w:r/>
    <w:r>
      <w:rPr>
        <w:rFonts w:ascii="Times New Roman" w:hAnsi="Times New Roman"/>
        <w:sz w:val="24"/>
      </w:rPr>
      <w:t>MANUAL TÉCNICO - SISTEMA EXPERTO INMOBILIARIO</w:t>
      <w:tab/>
      <w:tab/>
    </w:r>
    <w:fldSimple w:instr="PAGE">
      <w:r>
        <w:rPr>
          <w:rFonts w:ascii="Times New Roman" w:hAnsi="Times New Roman"/>
          <w:sz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