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7"/>
          <w:sz w:val="40"/>
        </w:rPr>
        <w:t>Modelo de Negocio y Lógica Operativa de la Solución</w:t>
      </w:r>
    </w:p>
    <w:p>
      <w:pPr>
        <w:spacing w:after="120"/>
      </w:pPr>
      <w:r>
        <w:rPr>
          <w:b w:val="0"/>
          <w:i/>
          <w:color w:val="555555"/>
          <w:sz w:val="22"/>
        </w:rPr>
        <w:t>Este apartado se incorpora dentro de "Modelado del Sistema", después de la Arquitectura de Solución y antes del Marco Analítico. Describe el modelo comercial de la solución, su lógica operativa y la forma en que el sistema experto de scoring soporta ese modelo. La solución se presenta como una herramienta de apoyo a la decisión: genera una recomendación o clasificación de riesgo que respalda al evaluador humano, sin sustituir su criterio.</w:t>
      </w:r>
    </w:p>
    <w:p>
      <w:pPr>
        <w:spacing w:after="120"/>
      </w:pPr>
      <w:r>
        <w:rPr>
          <w:b w:val="0"/>
          <w:i/>
          <w:color w:val="555555"/>
          <w:sz w:val="19"/>
        </w:rPr>
        <w:t>Nota: los montos económicos corresponden a hipótesis comerciales sujetas a validación con proveedores y con la encuesta de disposición a pagar. Tipo de cambio referencial: 1 USD ≈ Gs. 7.300.</w:t>
      </w:r>
    </w:p>
    <w:p>
      <w:pPr>
        <w:pStyle w:val="Heading1"/>
      </w:pPr>
      <w:r>
        <w:rPr>
          <w:rFonts w:ascii="Calibri" w:hAnsi="Calibri"/>
          <w:color w:val="102A47"/>
        </w:rPr>
        <w:t>1. Descripción del modelo comercial</w:t>
      </w:r>
    </w:p>
    <w:p>
      <w:pPr>
        <w:spacing w:after="120"/>
      </w:pPr>
      <w:r>
        <w:rPr>
          <w:b w:val="0"/>
          <w:i w:val="0"/>
          <w:sz w:val="22"/>
        </w:rPr>
        <w:t>La solución es un sistema web de evaluación de riesgo crediticio ofrecido a inmobiliarias bajo un modelo de servicio por consumo (paquetes prepago de evaluaciones). La inmobiliaria adquiere un paquete de reportes de scoring y lo consume a medida que evalúa clientes que solicitan una operación inmobiliaria (alquiler, venta o financiamiento).</w:t>
      </w:r>
    </w:p>
    <w:p>
      <w:pPr>
        <w:spacing w:after="120"/>
      </w:pPr>
      <w:r>
        <w:rPr>
          <w:b w:val="0"/>
          <w:i w:val="0"/>
          <w:sz w:val="22"/>
        </w:rPr>
        <w:t>El modelo no vende licencias perpetuas ni cobra por usuario, sino por el valor entregado: cada evaluación procesada y su reporte de riesgo. Esto alinea el ingreso con el uso real y reduce la barrera de entrada para la inmobiliaria, que paga solo por lo que consume.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Atributo del modelo</w:t>
            </w:r>
          </w:p>
        </w:tc>
        <w:tc>
          <w:tcPr>
            <w:tcW w:type="dxa" w:w="63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Tipo de solución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Software como servicio (SaaS) web de scoring crediticio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Mecanismo de cobro</w:t>
            </w:r>
          </w:p>
        </w:tc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Paquetes prepago de evaluaciones/reportes (Bronce, Plata, Oro)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Unidad de valor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Una evaluación de riesgo con su reporte y clasificación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Mercado objetivo</w:t>
            </w:r>
          </w:p>
        </w:tc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Inmobiliarias de Asunción (Paraguay)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Entrega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Plataforma web (frontend React + backend Flask)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2. Actores del modelo: cliente, usuario, pagador y beneficiario</w:t>
      </w:r>
    </w:p>
    <w:p>
      <w:pPr>
        <w:spacing w:after="120"/>
      </w:pPr>
      <w:r>
        <w:rPr>
          <w:b w:val="0"/>
          <w:i w:val="0"/>
          <w:sz w:val="22"/>
        </w:rPr>
        <w:t>El modelo distingue cuatro roles. Es importante separarlos porque quien usa el sistema, quien lo paga y quien se beneficia no siempre son la misma persona, y el cliente evaluado es externo a la operación comercial del 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02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Quién es</w:t>
            </w:r>
          </w:p>
        </w:tc>
        <w:tc>
          <w:tcPr>
            <w:tcW w:type="dxa" w:w="432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Rol en el modelo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Cliente (comercial)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La inmobiliaria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Contrata el servicio y consume los paquetes de evaluación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Usuario</w:t>
            </w:r>
          </w:p>
        </w:tc>
        <w:tc>
          <w:tcPr>
            <w:tcW w:type="dxa" w:w="3024"/>
            <w:shd w:val="clear" w:color="auto" w:fill="EEF2F7"/>
          </w:tcPr>
          <w:p>
            <w:r/>
            <w:r>
              <w:rPr>
                <w:sz w:val="19"/>
              </w:rPr>
              <w:t>Administrador y operadores de la inmobiliaria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sz w:val="19"/>
              </w:rPr>
              <w:t>Operan el sistema: registran clientes, ejecutan evaluaciones y consultan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Pagador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La inmobiliaria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Abona los paquetes prepago y, de ser necesario, las evaluaciones adicionales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Beneficiario</w:t>
            </w:r>
          </w:p>
        </w:tc>
        <w:tc>
          <w:tcPr>
            <w:tcW w:type="dxa" w:w="3024"/>
            <w:shd w:val="clear" w:color="auto" w:fill="EEF2F7"/>
          </w:tcPr>
          <w:p>
            <w:r/>
            <w:r>
              <w:rPr>
                <w:sz w:val="19"/>
              </w:rPr>
              <w:t>La inmobiliaria y, de forma indirecta, el solicitante evaluado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sz w:val="19"/>
              </w:rPr>
              <w:t>La inmobiliaria decide con mayor rapidez, objetividad y respaldo; el proceso es más consistente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Sujeto evaluado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El solicitante (persona o empresa que pide la operación)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es cliente comercial: es el individuo sobre el que se calcula el riesgo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22"/>
        </w:rPr>
        <w:t>En este modelo el cliente comercial, el usuario y el pagador coinciden en la figura de la inmobiliaria, mientras que el sujeto evaluado es un actor distinto cuyos datos alimentan el scoring.</w:t>
      </w:r>
    </w:p>
    <w:p>
      <w:pPr>
        <w:pStyle w:val="Heading1"/>
      </w:pPr>
      <w:r>
        <w:rPr>
          <w:rFonts w:ascii="Calibri" w:hAnsi="Calibri"/>
          <w:color w:val="102A47"/>
        </w:rPr>
        <w:t>3. Problema y propuesta de valor</w:t>
      </w:r>
    </w:p>
    <w:p>
      <w:pPr>
        <w:pStyle w:val="Heading2"/>
      </w:pPr>
      <w:r>
        <w:rPr>
          <w:rFonts w:ascii="Calibri" w:hAnsi="Calibri"/>
          <w:color w:val="102A47"/>
        </w:rPr>
        <w:t>3.1 Problema</w:t>
      </w:r>
    </w:p>
    <w:p>
      <w:pPr>
        <w:pStyle w:val="ListBullet"/>
      </w:pPr>
      <w:r>
        <w:t>La evaluación manual de un cliente toma entre 20 y 40 minutos y depende del criterio individual del analista.</w:t>
      </w:r>
    </w:p>
    <w:p>
      <w:pPr>
        <w:pStyle w:val="ListBullet"/>
      </w:pPr>
      <w:r>
        <w:t>La valoración del riesgo es subjetiva e inconsistente entre evaluadores y entre casos.</w:t>
      </w:r>
    </w:p>
    <w:p>
      <w:pPr>
        <w:pStyle w:val="ListBullet"/>
      </w:pPr>
      <w:r>
        <w:t>No existe trazabilidad formal de por qué se aprobó o rechazó a un cliente.</w:t>
      </w:r>
    </w:p>
    <w:p>
      <w:pPr>
        <w:pStyle w:val="ListBullet"/>
      </w:pPr>
      <w:r>
        <w:t>No se verifica de forma sistemática a los solicitantes contra listas de sanciones (riesgo de cumplimiento).</w:t>
      </w:r>
    </w:p>
    <w:p>
      <w:pPr>
        <w:pStyle w:val="Heading2"/>
      </w:pPr>
      <w:r>
        <w:rPr>
          <w:rFonts w:ascii="Calibri" w:hAnsi="Calibri"/>
          <w:color w:val="102A47"/>
        </w:rPr>
        <w:t>3.2 Propuesta de valor</w:t>
      </w:r>
    </w:p>
    <w:p>
      <w:pPr>
        <w:spacing w:after="120"/>
      </w:pPr>
      <w:r>
        <w:rPr>
          <w:b w:val="0"/>
          <w:i w:val="0"/>
          <w:sz w:val="22"/>
        </w:rPr>
        <w:t>El sistema automatiza y estandariza la evaluación de riesgo con un motor de reglas IF-THEN parametrizadas y verificación de cumplimiento, entregando una recomendación trazable:</w:t>
      </w:r>
    </w:p>
    <w:p>
      <w:pPr>
        <w:pStyle w:val="ListBullet"/>
      </w:pPr>
      <w:r>
        <w:rPr>
          <w:b/>
        </w:rPr>
        <w:t xml:space="preserve">Scoring automatizado: </w:t>
      </w:r>
      <w:r>
        <w:t>usa variables objetivas (ingresos, historial de pagos, endeudamiento, estabilidad laboral, entre otras) para calcular un puntaje y clasificar el riesgo en Alto, Medio o Bajo.</w:t>
      </w:r>
    </w:p>
    <w:p>
      <w:pPr>
        <w:pStyle w:val="ListBullet"/>
      </w:pPr>
      <w:r>
        <w:rPr>
          <w:b/>
        </w:rPr>
        <w:t xml:space="preserve">Cumplimiento integrado: </w:t>
      </w:r>
      <w:r>
        <w:t>verificación automática contra listas negras ONU/OFAC que bloquea evaluaciones con alertas de compliance. Es un diferenciador frente a una evaluación manual.</w:t>
      </w:r>
    </w:p>
    <w:p>
      <w:pPr>
        <w:pStyle w:val="ListBullet"/>
      </w:pPr>
      <w:r>
        <w:rPr>
          <w:b/>
        </w:rPr>
        <w:t xml:space="preserve">Rapidez: </w:t>
      </w:r>
      <w:r>
        <w:t>reduce el tiempo de evaluación estimado de 20–40 min a 5–10 min (estimación sujeta a validación).</w:t>
      </w:r>
    </w:p>
    <w:p>
      <w:pPr>
        <w:pStyle w:val="ListBullet"/>
      </w:pPr>
      <w:r>
        <w:rPr>
          <w:b/>
        </w:rPr>
        <w:t xml:space="preserve">Objetividad y trazabilidad: </w:t>
      </w:r>
      <w:r>
        <w:t>misma lógica aplicada a todos los casos, con registro de reglas usadas, valores, puntaje, clasificación y usuario.</w:t>
      </w:r>
    </w:p>
    <w:p>
      <w:pPr>
        <w:pStyle w:val="ListBullet"/>
      </w:pPr>
      <w:r>
        <w:rPr>
          <w:b/>
        </w:rPr>
        <w:t xml:space="preserve">Apoyo a la decisión: </w:t>
      </w:r>
      <w:r>
        <w:t>el sistema recomienda; el evaluador humano decide. No sustituye el juicio profesional.</w:t>
      </w:r>
    </w:p>
    <w:p>
      <w:pPr>
        <w:pStyle w:val="Heading1"/>
      </w:pPr>
      <w:r>
        <w:rPr>
          <w:rFonts w:ascii="Calibri" w:hAnsi="Calibri"/>
          <w:color w:val="102A47"/>
        </w:rPr>
        <w:t>4. Lógica operativa del modelo</w:t>
      </w:r>
    </w:p>
    <w:p>
      <w:pPr>
        <w:spacing w:after="120"/>
      </w:pPr>
      <w:r>
        <w:rPr>
          <w:b w:val="0"/>
          <w:i w:val="0"/>
          <w:sz w:val="22"/>
        </w:rPr>
        <w:t>La operación del modelo sigue un ciclo repetible que conecta la contratación comercial con el uso técnico del sistema:</w:t>
      </w:r>
    </w:p>
    <w:p>
      <w:pPr>
        <w:pStyle w:val="ListNumber"/>
      </w:pPr>
      <w:r>
        <w:t>La inmobiliaria contrata un paquete prepago (Bronce, Plata u Oro) a través de la pasarela de pago.</w:t>
      </w:r>
    </w:p>
    <w:p>
      <w:pPr>
        <w:pStyle w:val="ListNumber"/>
      </w:pPr>
      <w:r>
        <w:t>Se habilitan los usuarios autorizados (administrador y operadores) en la plataforma.</w:t>
      </w:r>
    </w:p>
    <w:p>
      <w:pPr>
        <w:pStyle w:val="ListNumber"/>
      </w:pPr>
      <w:r>
        <w:t>Ante una solicitud, el usuario registra al cliente y sus datos financieros.</w:t>
      </w:r>
    </w:p>
    <w:p>
      <w:pPr>
        <w:pStyle w:val="ListNumber"/>
      </w:pPr>
      <w:r>
        <w:t>El sistema ejecuta el motor de scoring: verifica lista negra, evalúa las reglas y calcula el puntaje.</w:t>
      </w:r>
    </w:p>
    <w:p>
      <w:pPr>
        <w:pStyle w:val="ListNumber"/>
      </w:pPr>
      <w:r>
        <w:t>Se genera un reporte con la clasificación de riesgo y una recomendación de apoyo.</w:t>
      </w:r>
    </w:p>
    <w:p>
      <w:pPr>
        <w:pStyle w:val="ListNumber"/>
      </w:pPr>
      <w:r>
        <w:t>El evaluador humano toma la decisión final y esta queda registrada con trazabilidad completa.</w:t>
      </w:r>
    </w:p>
    <w:p>
      <w:pPr>
        <w:pStyle w:val="ListNumber"/>
      </w:pPr>
      <w:r>
        <w:t>Cada evaluación descuenta un reporte del paquete; al agotarlo, la inmobiliaria renueva o compra adicionales.</w:t>
      </w:r>
    </w:p>
    <w:p>
      <w:pPr>
        <w:spacing w:after="120"/>
      </w:pPr>
      <w:r>
        <w:rPr>
          <w:b w:val="0"/>
          <w:i/>
          <w:color w:val="555555"/>
          <w:sz w:val="22"/>
        </w:rPr>
        <w:t>De este modo, el consumo técnico (evaluaciones) y el consumo comercial (reportes del paquete) avanzan en paralelo, lo que hace medible y previsible el modelo de ingresos.</w:t>
      </w:r>
    </w:p>
    <w:p>
      <w:pPr>
        <w:pStyle w:val="Heading1"/>
      </w:pPr>
      <w:r>
        <w:rPr>
          <w:rFonts w:ascii="Calibri" w:hAnsi="Calibri"/>
          <w:color w:val="102A47"/>
        </w:rPr>
        <w:t>5. Reglas principales del negocio</w:t>
      </w:r>
    </w:p>
    <w:p>
      <w:pPr>
        <w:spacing w:after="120"/>
      </w:pPr>
      <w:r>
        <w:rPr>
          <w:b w:val="0"/>
          <w:i w:val="0"/>
          <w:sz w:val="22"/>
        </w:rPr>
        <w:t>Las reglas de negocio gobiernan tanto la operación comercial como la lógica de evaluación. Se distinguen reglas comerciales y reglas de evaluación.</w:t>
      </w:r>
    </w:p>
    <w:p>
      <w:pPr>
        <w:pStyle w:val="Heading2"/>
      </w:pPr>
      <w:r>
        <w:rPr>
          <w:rFonts w:ascii="Calibri" w:hAnsi="Calibri"/>
          <w:color w:val="102A47"/>
        </w:rPr>
        <w:t>5.1 Reglas comerciales</w:t>
      </w:r>
    </w:p>
    <w:p>
      <w:pPr>
        <w:pStyle w:val="ListBullet"/>
      </w:pPr>
      <w:r>
        <w:t>El acceso al servicio requiere un paquete prepago vigente con saldo de reportes disponible.</w:t>
      </w:r>
    </w:p>
    <w:p>
      <w:pPr>
        <w:pStyle w:val="ListBullet"/>
      </w:pPr>
      <w:r>
        <w:t>Cada evaluación ejecutada consume un (1) reporte del paquete.</w:t>
      </w:r>
    </w:p>
    <w:p>
      <w:pPr>
        <w:pStyle w:val="ListBullet"/>
      </w:pPr>
      <w:r>
        <w:t>Si se agota el paquete, pueden adquirirse evaluaciones/reportes adicionales.</w:t>
      </w:r>
    </w:p>
    <w:p>
      <w:pPr>
        <w:pStyle w:val="ListBullet"/>
      </w:pPr>
      <w:r>
        <w:t>A mayor volumen contratado, menor precio unitario por reporte (descuento por volumen).</w:t>
      </w:r>
    </w:p>
    <w:p>
      <w:pPr>
        <w:pStyle w:val="Heading2"/>
      </w:pPr>
      <w:r>
        <w:rPr>
          <w:rFonts w:ascii="Calibri" w:hAnsi="Calibri"/>
          <w:color w:val="102A47"/>
        </w:rPr>
        <w:t>5.2 Reglas de evaluación (sistema experto)</w:t>
      </w:r>
    </w:p>
    <w:p>
      <w:pPr>
        <w:spacing w:after="120"/>
      </w:pPr>
      <w:r>
        <w:rPr>
          <w:b w:val="0"/>
          <w:i w:val="0"/>
          <w:sz w:val="22"/>
        </w:rPr>
        <w:t>La lógica técnica se basa en reglas IF-THEN con pesos, reglas determinantes y umbrales. Estas son las reglas de mayor jerarquía del negocio:</w:t>
      </w:r>
    </w:p>
    <w:p>
      <w:pPr>
        <w:pStyle w:val="ListBullet"/>
      </w:pPr>
      <w:r>
        <w:rPr>
          <w:b/>
        </w:rPr>
        <w:t xml:space="preserve">Cumplimiento: </w:t>
      </w:r>
      <w:r>
        <w:t>si el solicitante aparece en listas de sanciones ONU/OFAC, la evaluación se clasifica como riesgo ALTO y la operación no debe aprobarse (regla determinante y excluyente).</w:t>
      </w:r>
    </w:p>
    <w:p>
      <w:pPr>
        <w:pStyle w:val="ListBullet"/>
      </w:pPr>
      <w:r>
        <w:rPr>
          <w:b/>
        </w:rPr>
        <w:t xml:space="preserve">Elegibilidad: </w:t>
      </w:r>
      <w:r>
        <w:t>el solicitante debe tener al menos 21 años (capacidad legal de contratar); de lo contrario, rechazo.</w:t>
      </w:r>
    </w:p>
    <w:p>
      <w:pPr>
        <w:pStyle w:val="ListBullet"/>
      </w:pPr>
      <w:r>
        <w:rPr>
          <w:b/>
        </w:rPr>
        <w:t xml:space="preserve">Capacidad de pago: </w:t>
      </w:r>
      <w:r>
        <w:t>la relación deuda/ingreso no debe superar el 40 %, umbral prudencial de capacidad de pago.</w:t>
      </w:r>
    </w:p>
    <w:p>
      <w:pPr>
        <w:pStyle w:val="ListBullet"/>
      </w:pPr>
      <w:r>
        <w:rPr>
          <w:b/>
        </w:rPr>
        <w:t xml:space="preserve">Clasificación: </w:t>
      </w:r>
      <w:r>
        <w:t>la clasificación final se obtiene del porcentaje de puntaje alcanzado: ≥ 75 % riesgo bajo, 50–74 % riesgo medio, &lt; 50 % riesgo alto.</w:t>
      </w:r>
    </w:p>
    <w:p>
      <w:pPr>
        <w:spacing w:after="120"/>
      </w:pPr>
      <w:r>
        <w:rPr>
          <w:b w:val="0"/>
          <w:i/>
          <w:color w:val="555555"/>
          <w:sz w:val="19"/>
        </w:rPr>
        <w:t>El detalle numérico de pesos, puntajes y umbrales se desarrolla en el apartado de Validación Técnica del Scoring.</w:t>
      </w:r>
    </w:p>
    <w:p>
      <w:pPr>
        <w:pStyle w:val="Heading1"/>
      </w:pPr>
      <w:r>
        <w:rPr>
          <w:rFonts w:ascii="Calibri" w:hAnsi="Calibri"/>
          <w:color w:val="102A47"/>
        </w:rPr>
        <w:t>6. Flujo de valor</w:t>
      </w:r>
    </w:p>
    <w:p>
      <w:pPr>
        <w:spacing w:after="120"/>
      </w:pPr>
      <w:r>
        <w:rPr>
          <w:b w:val="0"/>
          <w:i w:val="0"/>
          <w:sz w:val="22"/>
        </w:rPr>
        <w:t>El flujo de valor describe cómo la solución transforma datos del solicitante en una decisión de negocio con menor riesgo: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88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Transformación</w:t>
            </w:r>
          </w:p>
        </w:tc>
        <w:tc>
          <w:tcPr>
            <w:tcW w:type="dxa" w:w="27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Salida de valor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 Captura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Datos del solicitante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Registro estructurado en la plataforma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Expediente digital del cliente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r/>
            <w:r>
              <w:rPr>
                <w:sz w:val="19"/>
              </w:rPr>
              <w:t>2. Verificación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Nombre, documento</w:t>
            </w:r>
          </w:p>
        </w:tc>
        <w:tc>
          <w:tcPr>
            <w:tcW w:type="dxa" w:w="2880"/>
            <w:shd w:val="clear" w:color="auto" w:fill="EEF2F7"/>
          </w:tcPr>
          <w:p>
            <w:r/>
            <w:r>
              <w:rPr>
                <w:sz w:val="19"/>
              </w:rPr>
              <w:t>Cotejo contra listas ONU/OFAC</w:t>
            </w:r>
          </w:p>
        </w:tc>
        <w:tc>
          <w:tcPr>
            <w:tcW w:type="dxa" w:w="2736"/>
            <w:shd w:val="clear" w:color="auto" w:fill="EEF2F7"/>
          </w:tcPr>
          <w:p>
            <w:r/>
            <w:r>
              <w:rPr>
                <w:sz w:val="19"/>
              </w:rPr>
              <w:t>Alerta de cumplimiento (si aplica)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3. Evaluación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Variables financieras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Motor de reglas IF-THEN + puntaje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Score y clasificación de riesgo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r/>
            <w:r>
              <w:rPr>
                <w:sz w:val="19"/>
              </w:rPr>
              <w:t>4. Recomendación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Clasificación</w:t>
            </w:r>
          </w:p>
        </w:tc>
        <w:tc>
          <w:tcPr>
            <w:tcW w:type="dxa" w:w="2880"/>
            <w:shd w:val="clear" w:color="auto" w:fill="EEF2F7"/>
          </w:tcPr>
          <w:p>
            <w:r/>
            <w:r>
              <w:rPr>
                <w:sz w:val="19"/>
              </w:rPr>
              <w:t>Mapeo a decisión de apoyo</w:t>
            </w:r>
          </w:p>
        </w:tc>
        <w:tc>
          <w:tcPr>
            <w:tcW w:type="dxa" w:w="2736"/>
            <w:shd w:val="clear" w:color="auto" w:fill="EEF2F7"/>
          </w:tcPr>
          <w:p>
            <w:r/>
            <w:r>
              <w:rPr>
                <w:sz w:val="19"/>
              </w:rPr>
              <w:t>Reporte: favorable / observado / desfavorable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5. Decisión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Reporte + criterio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Juicio del evaluador humano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Decisión registrada y trazable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22"/>
        </w:rPr>
        <w:t>El valor entregado no es solo el puntaje, sino una decisión más rápida, consistente y defendible, con evidencia completa de la lógica aplicada.</w:t>
      </w:r>
    </w:p>
    <w:p>
      <w:pPr>
        <w:pStyle w:val="Heading1"/>
      </w:pPr>
      <w:r>
        <w:rPr>
          <w:rFonts w:ascii="Calibri" w:hAnsi="Calibri"/>
          <w:color w:val="102A47"/>
        </w:rPr>
        <w:t>7. Cómo el sistema soporta el modelo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Capacidad del sistema</w:t>
            </w:r>
          </w:p>
        </w:tc>
        <w:tc>
          <w:tcPr>
            <w:tcW w:type="dxa" w:w="57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Elemento del modelo que soporta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Motor de reglas IF-THEN parametrizable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Permite estandarizar el criterio y adaptarlo sin reprogramar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Criterios ponderados configurables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Traduce la propuesta de valor en una evaluación medible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Verificación ONU/OFAC automática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Sostiene el diferenciador de cumplimiento del negocio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Gestión de usuarios y roles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Habilita a los usuarios autorizados de la inmobiliaria (admin/operador)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Reportes y dashboard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Entrega el producto que la inmobiliaria consume y paga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Auditoría y trazabilidad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Garantiza decisiones defendibles y homogéneas (apoyo a la decisión)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Consumo por evaluación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Habilita el cobro por paquetes prepago y la medición del uso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8. Estructura de costos</w:t>
      </w:r>
    </w:p>
    <w:p>
      <w:pPr>
        <w:spacing w:after="120"/>
      </w:pPr>
      <w:r>
        <w:rPr>
          <w:b w:val="0"/>
          <w:i w:val="0"/>
          <w:sz w:val="22"/>
        </w:rPr>
        <w:t>Los costos se separan en inversión inicial única y costos recurrentes de operación.</w:t>
      </w:r>
    </w:p>
    <w:p>
      <w:pPr>
        <w:pStyle w:val="Heading2"/>
      </w:pPr>
      <w:r>
        <w:rPr>
          <w:rFonts w:ascii="Calibri" w:hAnsi="Calibri"/>
          <w:color w:val="102A47"/>
        </w:rPr>
        <w:t>8.1 Inversión inicial (costo único de desarrollo)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Monto (Gs.)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Recursos humanos (500 h de desarrollo)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5.000.000</w:t>
            </w:r>
          </w:p>
        </w:tc>
      </w:tr>
      <w:tr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Hardware (laptop + smartphone de pruebas)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4.300.000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Software y licencias del período de desarrollo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232.200</w:t>
            </w:r>
          </w:p>
        </w:tc>
      </w:tr>
      <w:tr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Total inversión inicial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9.532.200 (≈ US$ 1.306)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Los gastos administrativos de la tesis (impresión, encuadernación, viáticos: Gs. 731.250) se consideran propios del trabajo académico y se excluyen del modelo comercial.</w:t>
      </w:r>
    </w:p>
    <w:p>
      <w:pPr>
        <w:pStyle w:val="Heading2"/>
      </w:pPr>
      <w:r>
        <w:rPr>
          <w:rFonts w:ascii="Calibri" w:hAnsi="Calibri"/>
          <w:color w:val="102A47"/>
        </w:rPr>
        <w:t>8.2 Costos recurrentes (operación mensual)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Mensual (Gs.)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Anual (Gs.)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Hosting backend (Render Starter)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51.100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613.200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Base de datos PostgreSQL (Render)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51.100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613.200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Frontend estático (Render Free)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Dominio (prorrateado)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~7.300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~87.600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Mantenimiento del motor de scoring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~40.000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~480.000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Soporte técnico, seguridad y respaldos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~30.000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~360.000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Subtotal fijo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~179.600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~2.154.000</w:t>
            </w:r>
          </w:p>
        </w:tc>
      </w:tr>
    </w:tbl>
    <w:p>
      <w:pPr>
        <w:pStyle w:val="ListBullet"/>
      </w:pPr>
      <w:r>
        <w:rPr>
          <w:b/>
        </w:rPr>
        <w:t xml:space="preserve">Costo variable: </w:t>
      </w:r>
      <w:r>
        <w:t>comisión de la pasarela (Pagopar) por transacción, proporcional a las ventas; no integra el subtotal fijo.</w:t>
      </w:r>
    </w:p>
    <w:p>
      <w:pPr>
        <w:pStyle w:val="ListBullet"/>
      </w:pPr>
      <w:r>
        <w:rPr>
          <w:b/>
        </w:rPr>
        <w:t xml:space="preserve">Costo por evaluación: </w:t>
      </w:r>
      <w:r>
        <w:t>el costo marginal de una evaluación adicional es casi nulo; el costo relevante es el fijo mensual repartido entre las evaluaciones vendidas (~Gs. 6.000 por evaluación en el escenario conservador de 30/mes).</w:t>
      </w:r>
    </w:p>
    <w:p>
      <w:pPr>
        <w:pStyle w:val="Heading1"/>
      </w:pPr>
      <w:r>
        <w:rPr>
          <w:rFonts w:ascii="Calibri" w:hAnsi="Calibri"/>
          <w:color w:val="102A47"/>
        </w:rPr>
        <w:t>9. Modelo de ingresos y sostenibilidad</w:t>
      </w:r>
    </w:p>
    <w:p>
      <w:pPr>
        <w:spacing w:after="120"/>
      </w:pPr>
      <w:r>
        <w:rPr>
          <w:b w:val="0"/>
          <w:i w:val="0"/>
          <w:sz w:val="22"/>
        </w:rPr>
        <w:t>Los ingresos provienen de la venta de paquetes prepago de reportes, con descuento por volumen.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44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Reportes</w:t>
            </w:r>
          </w:p>
        </w:tc>
        <w:tc>
          <w:tcPr>
            <w:tcW w:type="dxa" w:w="230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Precio por reporte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Precio del plan</w:t>
            </w:r>
          </w:p>
        </w:tc>
        <w:tc>
          <w:tcPr>
            <w:tcW w:type="dxa" w:w="27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Margen vs. piso (Gs. 6.000)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Bronce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Gs. 10.000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Gs. 150.000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40 %</w:t>
            </w:r>
          </w:p>
        </w:tc>
      </w:tr>
      <w:tr>
        <w:tc>
          <w:tcPr>
            <w:tcW w:type="dxa" w:w="1584"/>
            <w:shd w:val="clear" w:color="auto" w:fill="EEF2F7"/>
          </w:tcPr>
          <w:p>
            <w:r/>
            <w:r>
              <w:rPr>
                <w:sz w:val="19"/>
              </w:rPr>
              <w:t>Plata</w:t>
            </w:r>
          </w:p>
        </w:tc>
        <w:tc>
          <w:tcPr>
            <w:tcW w:type="dxa" w:w="1440"/>
            <w:shd w:val="clear" w:color="auto" w:fill="EEF2F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sz w:val="19"/>
              </w:rPr>
              <w:t>Gs. 9.000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Gs. 270.000</w:t>
            </w:r>
          </w:p>
        </w:tc>
        <w:tc>
          <w:tcPr>
            <w:tcW w:type="dxa" w:w="2736"/>
            <w:shd w:val="clear" w:color="auto" w:fill="EEF2F7"/>
          </w:tcPr>
          <w:p>
            <w:r/>
            <w:r>
              <w:rPr>
                <w:sz w:val="19"/>
              </w:rPr>
              <w:t>33 %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Oro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Gs. 8.000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Gs. 400.000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25 %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Los precios se derivan de forma justificada: superan el piso de costo (Gs. 6.000 por evaluación) y quedan por debajo del techo de valor (una evaluación manual cuesta ~Gs. 10.000–15.000), con descuento por volumen coherente.</w:t>
      </w:r>
    </w:p>
    <w:p>
      <w:pPr>
        <w:pStyle w:val="Heading2"/>
      </w:pPr>
      <w:r>
        <w:rPr>
          <w:rFonts w:ascii="Calibri" w:hAnsi="Calibri"/>
          <w:color w:val="102A47"/>
        </w:rPr>
        <w:t>9.1 Punto de equilibrio y sostenibilidad</w:t>
      </w:r>
    </w:p>
    <w:p>
      <w:pPr>
        <w:spacing w:after="120"/>
      </w:pPr>
      <w:r>
        <w:rPr>
          <w:b w:val="0"/>
          <w:i w:val="0"/>
          <w:sz w:val="22"/>
        </w:rPr>
        <w:t>Costo fijo mensual a cubrir: Gs. 179.600. Como el costo variable por evaluación es casi nulo, el margen de contribución ≈ precio del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592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374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2 clientes Bronce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Gs. 300.000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Cubre el costo fijo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1 cliente Plata</w:t>
            </w:r>
          </w:p>
        </w:tc>
        <w:tc>
          <w:tcPr>
            <w:tcW w:type="dxa" w:w="2592"/>
            <w:shd w:val="clear" w:color="auto" w:fill="EEF2F7"/>
          </w:tcPr>
          <w:p>
            <w:r/>
            <w:r>
              <w:rPr>
                <w:sz w:val="19"/>
              </w:rPr>
              <w:t>Gs. 270.000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Cubre el costo fijo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1 cliente Oro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Gs. 400.000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Cubre el costo fijo con holgura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1 Bronce + 1 Plata</w:t>
            </w:r>
          </w:p>
        </w:tc>
        <w:tc>
          <w:tcPr>
            <w:tcW w:type="dxa" w:w="2592"/>
            <w:shd w:val="clear" w:color="auto" w:fill="EEF2F7"/>
          </w:tcPr>
          <w:p>
            <w:r/>
            <w:r>
              <w:rPr>
                <w:sz w:val="19"/>
              </w:rPr>
              <w:t>Gs. 420.000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Superávit de ~Gs. 240.400/mes</w:t>
            </w:r>
          </w:p>
        </w:tc>
      </w:tr>
    </w:tbl>
    <w:p>
      <w:pPr>
        <w:spacing w:after="120"/>
      </w:pPr>
      <w:r>
        <w:rPr>
          <w:b w:val="0"/>
          <w:i/>
          <w:color w:val="2E7D32"/>
          <w:sz w:val="22"/>
        </w:rPr>
        <w:t>Con un solo cliente Plata u Oro al mes el modelo ya cubre infraestructura, soporte y mantenimiento. La inversión inicial (Gs. 9.532.200) se recupera en ~40 meses con un superávit de Gs. 240.400/mes, o en ~8 meses con 5 clientes Plata mensuales.</w:t>
      </w:r>
    </w:p>
    <w:p>
      <w:pPr>
        <w:pStyle w:val="Heading1"/>
      </w:pPr>
      <w:r>
        <w:rPr>
          <w:rFonts w:ascii="Calibri" w:hAnsi="Calibri"/>
          <w:color w:val="102A47"/>
        </w:rPr>
        <w:t>10. Business Model Canvas final</w:t>
      </w:r>
    </w:p>
    <w:p>
      <w:pPr>
        <w:spacing w:after="120"/>
      </w:pPr>
      <w:r>
        <w:rPr>
          <w:b w:val="0"/>
          <w:i w:val="0"/>
          <w:sz w:val="22"/>
        </w:rPr>
        <w:t>El Canvas sintetiza los nueve bloques del modelo. El Canvas representa la lógica del negocio; no la reemplaza.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1. Segmentos de clientes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Cliente y pagador: inmobiliarias de Asunción. Usuarios: administradores y responsables de evaluación autorizados. Necesidad: agilizar y estandarizar el análisis de clientes y apoyar decisiones de riesgo.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2. Propuesta de valor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Evaluación automatizada del riesgo con variables como ingresos, historial de pagos, endeudamiento y comportamiento financiero. Reglas IF-THEN parametrizadas que entregan puntaje y clasificación Alto/Medio/Bajo. Verificación automática contra listas negras ONU/OFAC (diferenciador). Reportes de apoyo a la decisión. Objetivo: reducir el tiempo de evaluación de 20–40 a 5–10 min.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3. Canales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Plataforma web. Contacto comercial directo con inmobiliarias. Demostración del sistema. Canales digitales de soporte y comunicación.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4. Relación con clientes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Soporte técnico y asistencia durante el uso. Orientación inicial y capacitación básica a usuarios autorizados. Mantenimiento y actualizaciones. Comunicación digital.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5. Fuentes de ingreso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Paquetes prepago de evaluaciones/reportes: Bronce (15 — Gs. 150.000), Plata (30 — Gs. 270.000), Oro (50 — Gs. 400.000). Evaluaciones adicionales al superar el paquete.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6. Recursos clave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Plataforma web React/Flask y base de datos. Motor de reglas, criterios y conocimiento del dominio. Reglas IF-THEN validadas. Infraestructura de alojamiento, seguridad, respaldos y soporte.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7. Actividades clave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Desarrollo y mantenimiento del sistema. Configuración y actualización de criterios y reglas IF-THEN. Procesamiento de evaluaciones y generación de reportes. Validación funcional. Soporte.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8. Socios/recursos externos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No se definen socios comerciales. Proveedores de tecnología (no socios): Render (infraestructura), GitHub (repositorio), Pagopar (pasarela de pagos). ONU/OFAC: fuentes externas de información.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9. Estructura de costos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Inversión inicial única: ~Gs. 9.532.200. Costos recurrentes fijos: ~Gs. 179.600/mes (~Gs. 2.154.000/año). Costo variable: comisión de pasarela por transacción.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11. Análisis integral del Canvas</w:t>
      </w:r>
    </w:p>
    <w:p>
      <w:pPr>
        <w:spacing w:after="120"/>
      </w:pPr>
      <w:r>
        <w:rPr>
          <w:b w:val="0"/>
          <w:i w:val="0"/>
          <w:sz w:val="22"/>
        </w:rPr>
        <w:t>El análisis transversal muestra cómo los bloques se refuerzan entre sí y se agrupan en tres ejes:</w:t>
      </w:r>
    </w:p>
    <w:p>
      <w:pPr>
        <w:pStyle w:val="ListBullet"/>
      </w:pPr>
      <w:r>
        <w:rPr>
          <w:b/>
        </w:rPr>
        <w:t xml:space="preserve">Eje de mercado: </w:t>
      </w:r>
      <w:r>
        <w:t>segmentos, canales y relación con clientes. Define a quién se sirve (inmobiliarias) y cómo se le llega (plataforma web + contacto directo).</w:t>
      </w:r>
    </w:p>
    <w:p>
      <w:pPr>
        <w:pStyle w:val="ListBullet"/>
      </w:pPr>
      <w:r>
        <w:rPr>
          <w:b/>
        </w:rPr>
        <w:t xml:space="preserve">Eje de operación: </w:t>
      </w:r>
      <w:r>
        <w:t>recursos, actividades y socios/recursos externos. Sostiene la operación: el motor de reglas y la infraestructura permiten procesar evaluaciones de forma continua.</w:t>
      </w:r>
    </w:p>
    <w:p>
      <w:pPr>
        <w:pStyle w:val="ListBullet"/>
      </w:pPr>
      <w:r>
        <w:rPr>
          <w:b/>
        </w:rPr>
        <w:t xml:space="preserve">Eje central: </w:t>
      </w:r>
      <w:r>
        <w:t>la propuesta de valor conecta ambos ejes, equilibrada por la estructura de costos y las fuentes de ingreso.</w:t>
      </w:r>
    </w:p>
    <w:p>
      <w:pPr>
        <w:spacing w:after="120"/>
      </w:pPr>
      <w:r>
        <w:rPr>
          <w:b w:val="0"/>
          <w:i w:val="0"/>
          <w:sz w:val="22"/>
        </w:rPr>
        <w:t>Coherencia observada:</w:t>
      </w:r>
    </w:p>
    <w:p>
      <w:pPr>
        <w:pStyle w:val="ListBullet"/>
      </w:pPr>
      <w:r>
        <w:t>La propuesta de valor (evaluación objetiva y cumplimiento) responde directamente al problema del segmento (subjetividad, lentitud, riesgo de compliance).</w:t>
      </w:r>
    </w:p>
    <w:p>
      <w:pPr>
        <w:pStyle w:val="ListBullet"/>
      </w:pPr>
      <w:r>
        <w:t>Las fuentes de ingreso (paquetes por consumo) encajan con la estructura de costos (costo marginal casi nulo), lo que da márgenes amplios.</w:t>
      </w:r>
    </w:p>
    <w:p>
      <w:pPr>
        <w:pStyle w:val="ListBullet"/>
      </w:pPr>
      <w:r>
        <w:t>Los recursos y actividades clave (motor de reglas, mantenimiento) son exactamente los que la propuesta de valor exige.</w:t>
      </w:r>
    </w:p>
    <w:p>
      <w:pPr>
        <w:pStyle w:val="ListBullet"/>
      </w:pPr>
      <w:r>
        <w:t>El diferenciador de verificación ONU/OFAC aparece en la propuesta de valor y se apoya en un recurso externo (fuentes de información), sin generar dependencia de un socio comercial.</w:t>
      </w:r>
    </w:p>
    <w:p>
      <w:pPr>
        <w:pStyle w:val="Heading1"/>
      </w:pPr>
      <w:r>
        <w:rPr>
          <w:rFonts w:ascii="Calibri" w:hAnsi="Calibri"/>
          <w:color w:val="102A47"/>
        </w:rPr>
        <w:t>12. Viabilidad y coherencia del modelo</w:t>
      </w:r>
    </w:p>
    <w:p>
      <w:pPr>
        <w:pStyle w:val="Heading2"/>
      </w:pPr>
      <w:r>
        <w:rPr>
          <w:rFonts w:ascii="Calibri" w:hAnsi="Calibri"/>
          <w:color w:val="102A47"/>
        </w:rPr>
        <w:t>12.1 Viabilidad económica</w:t>
      </w:r>
    </w:p>
    <w:p>
      <w:pPr>
        <w:pStyle w:val="ListBullet"/>
      </w:pPr>
      <w:r>
        <w:t>Un solo cliente Plata u Oro mensual cubre la totalidad de los costos recurrentes.</w:t>
      </w:r>
    </w:p>
    <w:p>
      <w:pPr>
        <w:pStyle w:val="ListBullet"/>
      </w:pPr>
      <w:r>
        <w:t>Los precios quedan por encima del costo y por debajo del costo del proceso manual, lo que incentiva la adopción.</w:t>
      </w:r>
    </w:p>
    <w:p>
      <w:pPr>
        <w:pStyle w:val="ListBullet"/>
      </w:pPr>
      <w:r>
        <w:t>El costo marginal casi nulo permite escalar ingresos sin aumento proporcional de costos.</w:t>
      </w:r>
    </w:p>
    <w:p>
      <w:pPr>
        <w:pStyle w:val="Heading2"/>
      </w:pPr>
      <w:r>
        <w:rPr>
          <w:rFonts w:ascii="Calibri" w:hAnsi="Calibri"/>
          <w:color w:val="102A47"/>
        </w:rPr>
        <w:t>12.2 Viabilidad técnica</w:t>
      </w:r>
    </w:p>
    <w:p>
      <w:pPr>
        <w:pStyle w:val="ListBullet"/>
      </w:pPr>
      <w:r>
        <w:t>El sistema ya está desarrollado y operativo; el motor de reglas es parametrizable y la verificación de cumplimiento está integrada.</w:t>
      </w:r>
    </w:p>
    <w:p>
      <w:pPr>
        <w:pStyle w:val="ListBullet"/>
      </w:pPr>
      <w:r>
        <w:t>La trazabilidad y auditoría respaldan el uso del sistema como herramienta de apoyo a la decisión.</w:t>
      </w:r>
    </w:p>
    <w:p>
      <w:pPr>
        <w:pStyle w:val="Heading2"/>
      </w:pPr>
      <w:r>
        <w:rPr>
          <w:rFonts w:ascii="Calibri" w:hAnsi="Calibri"/>
          <w:color w:val="102A47"/>
        </w:rPr>
        <w:t>12.3 Coherencia del modelo</w:t>
      </w:r>
    </w:p>
    <w:p>
      <w:pPr>
        <w:spacing w:after="120"/>
      </w:pPr>
      <w:r>
        <w:rPr>
          <w:b w:val="0"/>
          <w:i w:val="0"/>
          <w:sz w:val="22"/>
        </w:rPr>
        <w:t>El modelo es coherente de extremo a extremo: el problema del segmento justifica la propuesta de valor; la propuesta de valor se sostiene en los recursos y actividades clave; estos generan un producto (reportes) que el cliente paga mediante un esquema de ingresos alineado con una estructura de costos de margen amplio. La solución se mantiene explícitamente como apoyo a la decisión humana, con lógica registrada y trazable, lo que refuerza su aceptación y su defensa metodológica.</w:t>
      </w:r>
    </w:p>
    <w:p/>
    <w:p>
      <w:pPr>
        <w:jc w:val="center"/>
      </w:pPr>
      <w:r>
        <w:rPr>
          <w:i/>
          <w:color w:val="555555"/>
          <w:sz w:val="18"/>
        </w:rPr>
        <w:t>Apartado elaborado a partir de los documentos de costos/precios y del Business Model Canvas del proyecto, en coherencia con la validación técnica del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