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A47"/>
          <w:sz w:val="40"/>
        </w:rPr>
        <w:t>Modelo de Negocio y Lógica Operativa de la Solución</w:t>
      </w:r>
    </w:p>
    <w:p>
      <w:pPr>
        <w:spacing w:after="120"/>
      </w:pPr>
      <w:r>
        <w:rPr>
          <w:b w:val="0"/>
          <w:i/>
          <w:color w:val="555555"/>
          <w:sz w:val="22"/>
        </w:rPr>
        <w:t>Este apartado se incorpora dentro de "Modelado del Sistema", después de la Arquitectura de Solución y antes del Marco Analítico. Describe el modelo comercial de la solución, su lógica operativa y la forma en que el sistema experto de scoring soporta ese modelo. La solución se presenta como una herramienta de apoyo a la decisión: genera una recomendación o clasificación de riesgo que respalda al evaluador humano, sin sustituir su criterio.</w:t>
      </w:r>
    </w:p>
    <w:p>
      <w:pPr>
        <w:spacing w:after="120"/>
      </w:pPr>
      <w:r>
        <w:rPr>
          <w:b w:val="0"/>
          <w:i/>
          <w:color w:val="555555"/>
          <w:sz w:val="19"/>
        </w:rPr>
        <w:t>Nota: los montos económicos corresponden a hipótesis comerciales sujetas a validación con proveedores y con la encuesta de disposición a pagar. Tipo de cambio referencial: 1 USD ≈ Gs. 7.300.</w:t>
      </w:r>
    </w:p>
    <w:p>
      <w:pPr>
        <w:pStyle w:val="Heading1"/>
      </w:pPr>
      <w:r>
        <w:rPr>
          <w:rFonts w:ascii="Calibri" w:hAnsi="Calibri"/>
          <w:color w:val="102A47"/>
        </w:rPr>
        <w:t>1. Descripción del modelo comercial</w:t>
      </w:r>
    </w:p>
    <w:p>
      <w:pPr>
        <w:spacing w:after="120"/>
      </w:pPr>
      <w:r>
        <w:rPr>
          <w:b w:val="0"/>
          <w:i w:val="0"/>
          <w:sz w:val="22"/>
        </w:rPr>
        <w:t>La solución es un sistema web de evaluación de riesgo crediticio ofrecido a inmobiliarias bajo un modelo de suscripción mensual. La inmobiliaria contrata un plan mensual (Bronce, Plata u Oro) que le habilita una cantidad de evaluaciones/reportes de scoring por mes para los clientes que solicitan una operación inmobiliaria (alquiler, venta o financiamiento).</w:t>
      </w:r>
    </w:p>
    <w:p>
      <w:pPr>
        <w:spacing w:after="120"/>
      </w:pPr>
      <w:r>
        <w:rPr>
          <w:b w:val="0"/>
          <w:i w:val="0"/>
          <w:sz w:val="22"/>
        </w:rPr>
        <w:t>El modelo no vende licencias perpetuas ni cobra por usuario, sino que ofrece el servicio como una suscripción mensual asociada al volumen de evaluaciones. Esto da previsibilidad de ingreso al proveedor y de costo a la inmobiliaria, y reduce la barrera de entrada frente a una licencia única.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Atributo del modelo</w:t>
            </w:r>
          </w:p>
        </w:tc>
        <w:tc>
          <w:tcPr>
            <w:tcW w:type="dxa" w:w="6336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Tipo de solución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Software como servicio (SaaS) web de scoring crediticio</w:t>
            </w:r>
          </w:p>
        </w:tc>
      </w:tr>
      <w:tr>
        <w:tc>
          <w:tcPr>
            <w:tcW w:type="dxa" w:w="3168"/>
            <w:shd w:val="clear" w:color="auto" w:fill="EEF2F7"/>
          </w:tcPr>
          <w:p>
            <w:r/>
            <w:r>
              <w:rPr>
                <w:sz w:val="19"/>
              </w:rPr>
              <w:t>Mecanismo de cobro</w:t>
            </w:r>
          </w:p>
        </w:tc>
        <w:tc>
          <w:tcPr>
            <w:tcW w:type="dxa" w:w="6336"/>
            <w:shd w:val="clear" w:color="auto" w:fill="EEF2F7"/>
          </w:tcPr>
          <w:p>
            <w:r/>
            <w:r>
              <w:rPr>
                <w:sz w:val="19"/>
              </w:rPr>
              <w:t>Suscripción mensual por planes (Bronce, Plata, Oro)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Unidad de valor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Una evaluación de riesgo con su reporte y clasificación</w:t>
            </w:r>
          </w:p>
        </w:tc>
      </w:tr>
      <w:tr>
        <w:tc>
          <w:tcPr>
            <w:tcW w:type="dxa" w:w="3168"/>
            <w:shd w:val="clear" w:color="auto" w:fill="EEF2F7"/>
          </w:tcPr>
          <w:p>
            <w:r/>
            <w:r>
              <w:rPr>
                <w:sz w:val="19"/>
              </w:rPr>
              <w:t>Mercado objetivo</w:t>
            </w:r>
          </w:p>
        </w:tc>
        <w:tc>
          <w:tcPr>
            <w:tcW w:type="dxa" w:w="6336"/>
            <w:shd w:val="clear" w:color="auto" w:fill="EEF2F7"/>
          </w:tcPr>
          <w:p>
            <w:r/>
            <w:r>
              <w:rPr>
                <w:sz w:val="19"/>
              </w:rPr>
              <w:t>Inmobiliarias de Asunción (Paraguay)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Entrega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Plataforma web (frontend React + backend Flask)</w:t>
            </w:r>
          </w:p>
        </w:tc>
      </w:tr>
    </w:tbl>
    <w:p>
      <w:pPr>
        <w:pStyle w:val="Heading1"/>
      </w:pPr>
      <w:r>
        <w:rPr>
          <w:rFonts w:ascii="Calibri" w:hAnsi="Calibri"/>
          <w:color w:val="102A47"/>
        </w:rPr>
        <w:t>2. Actores del modelo: cliente, usuario, pagador y beneficiario</w:t>
      </w:r>
    </w:p>
    <w:p>
      <w:pPr>
        <w:spacing w:after="120"/>
      </w:pPr>
      <w:r>
        <w:rPr>
          <w:b w:val="0"/>
          <w:i w:val="0"/>
          <w:sz w:val="22"/>
        </w:rPr>
        <w:t>El modelo distingue cuatro roles. Es importante separarlos porque quien usa el sistema, quien lo paga y quien se beneficia no siempre son la misma persona, y el cliente evaluado es externo a la operación comercial del software.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024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Quién es</w:t>
            </w:r>
          </w:p>
        </w:tc>
        <w:tc>
          <w:tcPr>
            <w:tcW w:type="dxa" w:w="4320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Rol en el modelo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Cliente (comercial)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La inmobiliaria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Contrata la suscripción mensual y consume las evaluaciones del plan</w:t>
            </w:r>
          </w:p>
        </w:tc>
      </w:tr>
      <w:tr>
        <w:tc>
          <w:tcPr>
            <w:tcW w:type="dxa" w:w="2160"/>
            <w:shd w:val="clear" w:color="auto" w:fill="EEF2F7"/>
          </w:tcPr>
          <w:p>
            <w:r/>
            <w:r>
              <w:rPr>
                <w:sz w:val="19"/>
              </w:rPr>
              <w:t>Usuario</w:t>
            </w:r>
          </w:p>
        </w:tc>
        <w:tc>
          <w:tcPr>
            <w:tcW w:type="dxa" w:w="3024"/>
            <w:shd w:val="clear" w:color="auto" w:fill="EEF2F7"/>
          </w:tcPr>
          <w:p>
            <w:r/>
            <w:r>
              <w:rPr>
                <w:sz w:val="19"/>
              </w:rPr>
              <w:t>Administrador y operadores de la inmobiliaria</w:t>
            </w:r>
          </w:p>
        </w:tc>
        <w:tc>
          <w:tcPr>
            <w:tcW w:type="dxa" w:w="4320"/>
            <w:shd w:val="clear" w:color="auto" w:fill="EEF2F7"/>
          </w:tcPr>
          <w:p>
            <w:r/>
            <w:r>
              <w:rPr>
                <w:sz w:val="19"/>
              </w:rPr>
              <w:t>Operan el sistema: registran clientes, ejecutan evaluaciones y consultan reportes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Pagador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La inmobiliaria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Abona la cuota mensual del plan y, de ser necesario, las evaluaciones adicionales</w:t>
            </w:r>
          </w:p>
        </w:tc>
      </w:tr>
      <w:tr>
        <w:tc>
          <w:tcPr>
            <w:tcW w:type="dxa" w:w="2160"/>
            <w:shd w:val="clear" w:color="auto" w:fill="EEF2F7"/>
          </w:tcPr>
          <w:p>
            <w:r/>
            <w:r>
              <w:rPr>
                <w:sz w:val="19"/>
              </w:rPr>
              <w:t>Beneficiario</w:t>
            </w:r>
          </w:p>
        </w:tc>
        <w:tc>
          <w:tcPr>
            <w:tcW w:type="dxa" w:w="3024"/>
            <w:shd w:val="clear" w:color="auto" w:fill="EEF2F7"/>
          </w:tcPr>
          <w:p>
            <w:r/>
            <w:r>
              <w:rPr>
                <w:sz w:val="19"/>
              </w:rPr>
              <w:t>La inmobiliaria y, de forma indirecta, el solicitante evaluado</w:t>
            </w:r>
          </w:p>
        </w:tc>
        <w:tc>
          <w:tcPr>
            <w:tcW w:type="dxa" w:w="4320"/>
            <w:shd w:val="clear" w:color="auto" w:fill="EEF2F7"/>
          </w:tcPr>
          <w:p>
            <w:r/>
            <w:r>
              <w:rPr>
                <w:sz w:val="19"/>
              </w:rPr>
              <w:t>La inmobiliaria decide con mayor rapidez, objetividad y respaldo; el proceso es más consistente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Sujeto evaluado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El solicitante (persona o empresa que pide la operación)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No es cliente comercial: es el individuo sobre el que se calcula el riesgo</w:t>
            </w:r>
          </w:p>
        </w:tc>
      </w:tr>
    </w:tbl>
    <w:p>
      <w:pPr>
        <w:spacing w:after="120"/>
      </w:pPr>
      <w:r>
        <w:rPr>
          <w:b w:val="0"/>
          <w:i/>
          <w:color w:val="555555"/>
          <w:sz w:val="22"/>
        </w:rPr>
        <w:t>En este modelo el cliente comercial, el usuario y el pagador coinciden en la figura de la inmobiliaria, mientras que el sujeto evaluado es un actor distinto cuyos datos alimentan el scoring.</w:t>
      </w:r>
    </w:p>
    <w:p>
      <w:pPr>
        <w:pStyle w:val="Heading1"/>
      </w:pPr>
      <w:r>
        <w:rPr>
          <w:rFonts w:ascii="Calibri" w:hAnsi="Calibri"/>
          <w:color w:val="102A47"/>
        </w:rPr>
        <w:t>3. Problema y propuesta de valor</w:t>
      </w:r>
    </w:p>
    <w:p>
      <w:pPr>
        <w:pStyle w:val="Heading2"/>
      </w:pPr>
      <w:r>
        <w:rPr>
          <w:rFonts w:ascii="Calibri" w:hAnsi="Calibri"/>
          <w:color w:val="102A47"/>
        </w:rPr>
        <w:t>3.1 Problema</w:t>
      </w:r>
    </w:p>
    <w:p>
      <w:pPr>
        <w:pStyle w:val="ListBullet"/>
      </w:pPr>
      <w:r>
        <w:t>La evaluación manual de un cliente toma entre 20 y 40 minutos y depende del criterio individual del analista.</w:t>
      </w:r>
    </w:p>
    <w:p>
      <w:pPr>
        <w:pStyle w:val="ListBullet"/>
      </w:pPr>
      <w:r>
        <w:t>La valoración del riesgo es subjetiva e inconsistente entre evaluadores y entre casos.</w:t>
      </w:r>
    </w:p>
    <w:p>
      <w:pPr>
        <w:pStyle w:val="ListBullet"/>
      </w:pPr>
      <w:r>
        <w:t>No existe trazabilidad formal de por qué se aprobó o rechazó a un cliente.</w:t>
      </w:r>
    </w:p>
    <w:p>
      <w:pPr>
        <w:pStyle w:val="ListBullet"/>
      </w:pPr>
      <w:r>
        <w:t>No se verifica de forma sistemática a los solicitantes contra listas de sanciones (riesgo de cumplimiento).</w:t>
      </w:r>
    </w:p>
    <w:p>
      <w:pPr>
        <w:pStyle w:val="Heading2"/>
      </w:pPr>
      <w:r>
        <w:rPr>
          <w:rFonts w:ascii="Calibri" w:hAnsi="Calibri"/>
          <w:color w:val="102A47"/>
        </w:rPr>
        <w:t>3.2 Propuesta de valor</w:t>
      </w:r>
    </w:p>
    <w:p>
      <w:pPr>
        <w:spacing w:after="120"/>
      </w:pPr>
      <w:r>
        <w:rPr>
          <w:b w:val="0"/>
          <w:i w:val="0"/>
          <w:sz w:val="22"/>
        </w:rPr>
        <w:t>El sistema automatiza y estandariza la evaluación de riesgo con un motor de reglas IF-THEN parametrizadas y verificación de cumplimiento, entregando una recomendación trazable:</w:t>
      </w:r>
    </w:p>
    <w:p>
      <w:pPr>
        <w:pStyle w:val="ListBullet"/>
      </w:pPr>
      <w:r>
        <w:rPr>
          <w:b/>
        </w:rPr>
        <w:t xml:space="preserve">Scoring automatizado: </w:t>
      </w:r>
      <w:r>
        <w:t>usa variables objetivas (ingresos, historial de pagos, endeudamiento, estabilidad laboral, entre otras) para calcular un puntaje y clasificar el riesgo en Alto, Medio o Bajo.</w:t>
      </w:r>
    </w:p>
    <w:p>
      <w:pPr>
        <w:pStyle w:val="ListBullet"/>
      </w:pPr>
      <w:r>
        <w:rPr>
          <w:b/>
        </w:rPr>
        <w:t xml:space="preserve">Cumplimiento integrado: </w:t>
      </w:r>
      <w:r>
        <w:t>verificación automática contra listas negras ONU/OFAC que bloquea evaluaciones con alertas de compliance. Es un diferenciador frente a una evaluación manual.</w:t>
      </w:r>
    </w:p>
    <w:p>
      <w:pPr>
        <w:pStyle w:val="ListBullet"/>
      </w:pPr>
      <w:r>
        <w:rPr>
          <w:b/>
        </w:rPr>
        <w:t xml:space="preserve">Rapidez: </w:t>
      </w:r>
      <w:r>
        <w:t>reduce el tiempo de evaluación estimado de 20–40 min a 5–10 min (estimación sujeta a validación).</w:t>
      </w:r>
    </w:p>
    <w:p>
      <w:pPr>
        <w:pStyle w:val="ListBullet"/>
      </w:pPr>
      <w:r>
        <w:rPr>
          <w:b/>
        </w:rPr>
        <w:t xml:space="preserve">Objetividad y trazabilidad: </w:t>
      </w:r>
      <w:r>
        <w:t>misma lógica aplicada a todos los casos, con registro de reglas usadas, valores, puntaje, clasificación y usuario.</w:t>
      </w:r>
    </w:p>
    <w:p>
      <w:pPr>
        <w:pStyle w:val="ListBullet"/>
      </w:pPr>
      <w:r>
        <w:rPr>
          <w:b/>
        </w:rPr>
        <w:t xml:space="preserve">Apoyo a la decisión: </w:t>
      </w:r>
      <w:r>
        <w:t>el sistema recomienda; el evaluador humano decide. No sustituye el juicio profesional.</w:t>
      </w:r>
    </w:p>
    <w:p>
      <w:pPr>
        <w:pStyle w:val="Heading1"/>
      </w:pPr>
      <w:r>
        <w:rPr>
          <w:rFonts w:ascii="Calibri" w:hAnsi="Calibri"/>
          <w:color w:val="102A47"/>
        </w:rPr>
        <w:t>4. Lógica operativa del modelo</w:t>
      </w:r>
    </w:p>
    <w:p>
      <w:pPr>
        <w:spacing w:after="120"/>
      </w:pPr>
      <w:r>
        <w:rPr>
          <w:b w:val="0"/>
          <w:i w:val="0"/>
          <w:sz w:val="22"/>
        </w:rPr>
        <w:t>La operación del modelo sigue un ciclo repetible que conecta la contratación comercial con el uso técnico del sistema:</w:t>
      </w:r>
    </w:p>
    <w:p>
      <w:pPr>
        <w:pStyle w:val="ListNumber"/>
      </w:pPr>
      <w:r>
        <w:t>La inmobiliaria contrata un plan de suscripción mensual (Bronce, Plata u Oro) a través de la pasarela de pago.</w:t>
      </w:r>
    </w:p>
    <w:p>
      <w:pPr>
        <w:pStyle w:val="ListNumber"/>
      </w:pPr>
      <w:r>
        <w:t>Se habilitan los usuarios autorizados (administrador y operadores) en la plataforma.</w:t>
      </w:r>
    </w:p>
    <w:p>
      <w:pPr>
        <w:pStyle w:val="ListNumber"/>
      </w:pPr>
      <w:r>
        <w:t>Ante una solicitud, el usuario registra al cliente y sus datos financieros.</w:t>
      </w:r>
    </w:p>
    <w:p>
      <w:pPr>
        <w:pStyle w:val="ListNumber"/>
      </w:pPr>
      <w:r>
        <w:t>El sistema ejecuta el motor de scoring: verifica lista negra, evalúa las reglas y calcula el puntaje.</w:t>
      </w:r>
    </w:p>
    <w:p>
      <w:pPr>
        <w:pStyle w:val="ListNumber"/>
      </w:pPr>
      <w:r>
        <w:t>Se genera un reporte con la clasificación de riesgo y una recomendación de apoyo.</w:t>
      </w:r>
    </w:p>
    <w:p>
      <w:pPr>
        <w:pStyle w:val="ListNumber"/>
      </w:pPr>
      <w:r>
        <w:t>El evaluador humano toma la decisión final y esta queda registrada con trazabilidad completa.</w:t>
      </w:r>
    </w:p>
    <w:p>
      <w:pPr>
        <w:pStyle w:val="ListNumber"/>
      </w:pPr>
      <w:r>
        <w:t>Cada evaluación descuenta un reporte del cupo mensual del plan; al agotarlo, se renueva en el siguiente ciclo o se adquieren adicionales.</w:t>
      </w:r>
    </w:p>
    <w:p>
      <w:pPr>
        <w:spacing w:after="120"/>
      </w:pPr>
      <w:r>
        <w:rPr>
          <w:b w:val="0"/>
          <w:i/>
          <w:color w:val="555555"/>
          <w:sz w:val="22"/>
        </w:rPr>
        <w:t>De este modo, el consumo técnico (evaluaciones) y la suscripción mensual contratada avanzan en paralelo, lo que hace medible y previsible el modelo de ingresos recurrentes.</w:t>
      </w:r>
    </w:p>
    <w:p>
      <w:pPr>
        <w:pStyle w:val="Heading1"/>
      </w:pPr>
      <w:r>
        <w:rPr>
          <w:rFonts w:ascii="Calibri" w:hAnsi="Calibri"/>
          <w:color w:val="102A47"/>
        </w:rPr>
        <w:t>5. Reglas principales del negocio</w:t>
      </w:r>
    </w:p>
    <w:p>
      <w:pPr>
        <w:spacing w:after="120"/>
      </w:pPr>
      <w:r>
        <w:rPr>
          <w:b w:val="0"/>
          <w:i w:val="0"/>
          <w:sz w:val="22"/>
        </w:rPr>
        <w:t>Las reglas de negocio gobiernan tanto la operación comercial como la lógica de evaluación. Se distinguen reglas comerciales y reglas de evaluación.</w:t>
      </w:r>
    </w:p>
    <w:p>
      <w:pPr>
        <w:pStyle w:val="Heading2"/>
      </w:pPr>
      <w:r>
        <w:rPr>
          <w:rFonts w:ascii="Calibri" w:hAnsi="Calibri"/>
          <w:color w:val="102A47"/>
        </w:rPr>
        <w:t>5.1 Reglas comerciales</w:t>
      </w:r>
    </w:p>
    <w:p>
      <w:pPr>
        <w:pStyle w:val="ListBullet"/>
      </w:pPr>
      <w:r>
        <w:t>El acceso al servicio requiere una suscripción mensual vigente con cupo de reportes disponible.</w:t>
      </w:r>
    </w:p>
    <w:p>
      <w:pPr>
        <w:pStyle w:val="ListBullet"/>
      </w:pPr>
      <w:r>
        <w:t>Cada evaluación ejecutada consume un (1) reporte del cupo mensual del plan.</w:t>
      </w:r>
    </w:p>
    <w:p>
      <w:pPr>
        <w:pStyle w:val="ListBullet"/>
      </w:pPr>
      <w:r>
        <w:t>Si se agota el cupo del mes, pueden adquirirse evaluaciones/reportes adicionales.</w:t>
      </w:r>
    </w:p>
    <w:p>
      <w:pPr>
        <w:pStyle w:val="ListBullet"/>
      </w:pPr>
      <w:r>
        <w:t>A mayor plan contratado, menor precio unitario por reporte (descuento por volumen).</w:t>
      </w:r>
    </w:p>
    <w:p>
      <w:pPr>
        <w:pStyle w:val="Heading2"/>
      </w:pPr>
      <w:r>
        <w:rPr>
          <w:rFonts w:ascii="Calibri" w:hAnsi="Calibri"/>
          <w:color w:val="102A47"/>
        </w:rPr>
        <w:t>5.2 Reglas de evaluación (sistema experto)</w:t>
      </w:r>
    </w:p>
    <w:p>
      <w:pPr>
        <w:spacing w:after="120"/>
      </w:pPr>
      <w:r>
        <w:rPr>
          <w:b w:val="0"/>
          <w:i w:val="0"/>
          <w:sz w:val="22"/>
        </w:rPr>
        <w:t>La lógica técnica se basa en reglas IF-THEN con pesos, reglas determinantes y umbrales. Estas son las reglas de mayor jerarquía del negocio:</w:t>
      </w:r>
    </w:p>
    <w:p>
      <w:pPr>
        <w:pStyle w:val="ListBullet"/>
      </w:pPr>
      <w:r>
        <w:rPr>
          <w:b/>
        </w:rPr>
        <w:t xml:space="preserve">Cumplimiento: </w:t>
      </w:r>
      <w:r>
        <w:t>si el solicitante aparece en listas de sanciones ONU/OFAC, la evaluación se clasifica como riesgo ALTO y la operación no debe aprobarse (regla determinante y excluyente).</w:t>
      </w:r>
    </w:p>
    <w:p>
      <w:pPr>
        <w:pStyle w:val="ListBullet"/>
      </w:pPr>
      <w:r>
        <w:rPr>
          <w:b/>
        </w:rPr>
        <w:t xml:space="preserve">Elegibilidad: </w:t>
      </w:r>
      <w:r>
        <w:t>el solicitante debe tener al menos 21 años (capacidad legal de contratar); de lo contrario, rechazo.</w:t>
      </w:r>
    </w:p>
    <w:p>
      <w:pPr>
        <w:pStyle w:val="ListBullet"/>
      </w:pPr>
      <w:r>
        <w:rPr>
          <w:b/>
        </w:rPr>
        <w:t xml:space="preserve">Capacidad de pago: </w:t>
      </w:r>
      <w:r>
        <w:t>la relación deuda/ingreso no debe superar el 40 %, umbral prudencial de capacidad de pago.</w:t>
      </w:r>
    </w:p>
    <w:p>
      <w:pPr>
        <w:pStyle w:val="ListBullet"/>
      </w:pPr>
      <w:r>
        <w:rPr>
          <w:b/>
        </w:rPr>
        <w:t xml:space="preserve">Clasificación: </w:t>
      </w:r>
      <w:r>
        <w:t>la clasificación final se obtiene del porcentaje de puntaje alcanzado: ≥ 75 % riesgo bajo, 50–74 % riesgo medio, &lt; 50 % riesgo alto.</w:t>
      </w:r>
    </w:p>
    <w:p>
      <w:pPr>
        <w:spacing w:after="120"/>
      </w:pPr>
      <w:r>
        <w:rPr>
          <w:b w:val="0"/>
          <w:i/>
          <w:color w:val="555555"/>
          <w:sz w:val="19"/>
        </w:rPr>
        <w:t>El detalle numérico de pesos, puntajes y umbrales se desarrolla en el apartado de Validación Técnica del Scoring.</w:t>
      </w:r>
    </w:p>
    <w:p>
      <w:pPr>
        <w:pStyle w:val="Heading1"/>
      </w:pPr>
      <w:r>
        <w:rPr>
          <w:rFonts w:ascii="Calibri" w:hAnsi="Calibri"/>
          <w:color w:val="102A47"/>
        </w:rPr>
        <w:t>6. Flujo de valor</w:t>
      </w:r>
    </w:p>
    <w:p>
      <w:pPr>
        <w:spacing w:after="120"/>
      </w:pPr>
      <w:r>
        <w:rPr>
          <w:b w:val="0"/>
          <w:i w:val="0"/>
          <w:sz w:val="22"/>
        </w:rPr>
        <w:t>El flujo de valor describe cómo la solución transforma datos del solicitante en una decisión de negocio con menor riesgo: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2160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Entrada</w:t>
            </w:r>
          </w:p>
        </w:tc>
        <w:tc>
          <w:tcPr>
            <w:tcW w:type="dxa" w:w="2880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Transformación</w:t>
            </w:r>
          </w:p>
        </w:tc>
        <w:tc>
          <w:tcPr>
            <w:tcW w:type="dxa" w:w="2736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Salida de valor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1. Captura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Datos del solicitante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Registro estructurado en la plataforma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Expediente digital del cliente</w:t>
            </w:r>
          </w:p>
        </w:tc>
      </w:tr>
      <w:tr>
        <w:tc>
          <w:tcPr>
            <w:tcW w:type="dxa" w:w="1728"/>
            <w:shd w:val="clear" w:color="auto" w:fill="EEF2F7"/>
          </w:tcPr>
          <w:p>
            <w:r/>
            <w:r>
              <w:rPr>
                <w:sz w:val="19"/>
              </w:rPr>
              <w:t>2. Verificación</w:t>
            </w:r>
          </w:p>
        </w:tc>
        <w:tc>
          <w:tcPr>
            <w:tcW w:type="dxa" w:w="2160"/>
            <w:shd w:val="clear" w:color="auto" w:fill="EEF2F7"/>
          </w:tcPr>
          <w:p>
            <w:r/>
            <w:r>
              <w:rPr>
                <w:sz w:val="19"/>
              </w:rPr>
              <w:t>Nombre, documento</w:t>
            </w:r>
          </w:p>
        </w:tc>
        <w:tc>
          <w:tcPr>
            <w:tcW w:type="dxa" w:w="2880"/>
            <w:shd w:val="clear" w:color="auto" w:fill="EEF2F7"/>
          </w:tcPr>
          <w:p>
            <w:r/>
            <w:r>
              <w:rPr>
                <w:sz w:val="19"/>
              </w:rPr>
              <w:t>Cotejo contra listas ONU/OFAC</w:t>
            </w:r>
          </w:p>
        </w:tc>
        <w:tc>
          <w:tcPr>
            <w:tcW w:type="dxa" w:w="2736"/>
            <w:shd w:val="clear" w:color="auto" w:fill="EEF2F7"/>
          </w:tcPr>
          <w:p>
            <w:r/>
            <w:r>
              <w:rPr>
                <w:sz w:val="19"/>
              </w:rPr>
              <w:t>Alerta de cumplimiento (si aplica)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3. Evaluación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Variables financieras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Motor de reglas IF-THEN + puntaje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Score y clasificación de riesgo</w:t>
            </w:r>
          </w:p>
        </w:tc>
      </w:tr>
      <w:tr>
        <w:tc>
          <w:tcPr>
            <w:tcW w:type="dxa" w:w="1728"/>
            <w:shd w:val="clear" w:color="auto" w:fill="EEF2F7"/>
          </w:tcPr>
          <w:p>
            <w:r/>
            <w:r>
              <w:rPr>
                <w:sz w:val="19"/>
              </w:rPr>
              <w:t>4. Recomendación</w:t>
            </w:r>
          </w:p>
        </w:tc>
        <w:tc>
          <w:tcPr>
            <w:tcW w:type="dxa" w:w="2160"/>
            <w:shd w:val="clear" w:color="auto" w:fill="EEF2F7"/>
          </w:tcPr>
          <w:p>
            <w:r/>
            <w:r>
              <w:rPr>
                <w:sz w:val="19"/>
              </w:rPr>
              <w:t>Clasificación</w:t>
            </w:r>
          </w:p>
        </w:tc>
        <w:tc>
          <w:tcPr>
            <w:tcW w:type="dxa" w:w="2880"/>
            <w:shd w:val="clear" w:color="auto" w:fill="EEF2F7"/>
          </w:tcPr>
          <w:p>
            <w:r/>
            <w:r>
              <w:rPr>
                <w:sz w:val="19"/>
              </w:rPr>
              <w:t>Mapeo a decisión de apoyo</w:t>
            </w:r>
          </w:p>
        </w:tc>
        <w:tc>
          <w:tcPr>
            <w:tcW w:type="dxa" w:w="2736"/>
            <w:shd w:val="clear" w:color="auto" w:fill="EEF2F7"/>
          </w:tcPr>
          <w:p>
            <w:r/>
            <w:r>
              <w:rPr>
                <w:sz w:val="19"/>
              </w:rPr>
              <w:t>Reporte: favorable / observado / desfavorable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5. Decisión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Reporte + criterio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Juicio del evaluador humano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Decisión registrada y trazable</w:t>
            </w:r>
          </w:p>
        </w:tc>
      </w:tr>
    </w:tbl>
    <w:p>
      <w:pPr>
        <w:spacing w:after="120"/>
      </w:pPr>
      <w:r>
        <w:rPr>
          <w:b w:val="0"/>
          <w:i/>
          <w:color w:val="555555"/>
          <w:sz w:val="22"/>
        </w:rPr>
        <w:t>El valor entregado no es solo el puntaje, sino una decisión más rápida, consistente y defendible, con evidencia completa de la lógica aplicada.</w:t>
      </w:r>
    </w:p>
    <w:p>
      <w:pPr>
        <w:pStyle w:val="Heading1"/>
      </w:pPr>
      <w:r>
        <w:rPr>
          <w:rFonts w:ascii="Calibri" w:hAnsi="Calibri"/>
          <w:color w:val="102A47"/>
        </w:rPr>
        <w:t>7. Cómo el sistema soporta el modelo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Capacidad del sistema</w:t>
            </w:r>
          </w:p>
        </w:tc>
        <w:tc>
          <w:tcPr>
            <w:tcW w:type="dxa" w:w="5760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Elemento del modelo que soporta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Motor de reglas IF-THEN parametrizable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Permite estandarizar el criterio y adaptarlo sin reprogramar</w:t>
            </w:r>
          </w:p>
        </w:tc>
      </w:tr>
      <w:tr>
        <w:tc>
          <w:tcPr>
            <w:tcW w:type="dxa" w:w="3744"/>
            <w:shd w:val="clear" w:color="auto" w:fill="EEF2F7"/>
          </w:tcPr>
          <w:p>
            <w:r/>
            <w:r>
              <w:rPr>
                <w:sz w:val="19"/>
              </w:rPr>
              <w:t>Criterios ponderados configurables</w:t>
            </w:r>
          </w:p>
        </w:tc>
        <w:tc>
          <w:tcPr>
            <w:tcW w:type="dxa" w:w="5760"/>
            <w:shd w:val="clear" w:color="auto" w:fill="EEF2F7"/>
          </w:tcPr>
          <w:p>
            <w:r/>
            <w:r>
              <w:rPr>
                <w:sz w:val="19"/>
              </w:rPr>
              <w:t>Traduce la propuesta de valor en una evaluación medible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Verificación ONU/OFAC automática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Sostiene el diferenciador de cumplimiento del negocio</w:t>
            </w:r>
          </w:p>
        </w:tc>
      </w:tr>
      <w:tr>
        <w:tc>
          <w:tcPr>
            <w:tcW w:type="dxa" w:w="3744"/>
            <w:shd w:val="clear" w:color="auto" w:fill="EEF2F7"/>
          </w:tcPr>
          <w:p>
            <w:r/>
            <w:r>
              <w:rPr>
                <w:sz w:val="19"/>
              </w:rPr>
              <w:t>Gestión de usuarios y roles</w:t>
            </w:r>
          </w:p>
        </w:tc>
        <w:tc>
          <w:tcPr>
            <w:tcW w:type="dxa" w:w="5760"/>
            <w:shd w:val="clear" w:color="auto" w:fill="EEF2F7"/>
          </w:tcPr>
          <w:p>
            <w:r/>
            <w:r>
              <w:rPr>
                <w:sz w:val="19"/>
              </w:rPr>
              <w:t>Habilita a los usuarios autorizados de la inmobiliaria (admin/operador)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Reportes y dashboard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Entrega el producto que la inmobiliaria consume y paga</w:t>
            </w:r>
          </w:p>
        </w:tc>
      </w:tr>
      <w:tr>
        <w:tc>
          <w:tcPr>
            <w:tcW w:type="dxa" w:w="3744"/>
            <w:shd w:val="clear" w:color="auto" w:fill="EEF2F7"/>
          </w:tcPr>
          <w:p>
            <w:r/>
            <w:r>
              <w:rPr>
                <w:sz w:val="19"/>
              </w:rPr>
              <w:t>Auditoría y trazabilidad</w:t>
            </w:r>
          </w:p>
        </w:tc>
        <w:tc>
          <w:tcPr>
            <w:tcW w:type="dxa" w:w="5760"/>
            <w:shd w:val="clear" w:color="auto" w:fill="EEF2F7"/>
          </w:tcPr>
          <w:p>
            <w:r/>
            <w:r>
              <w:rPr>
                <w:sz w:val="19"/>
              </w:rPr>
              <w:t>Garantiza decisiones defendibles y homogéneas (apoyo a la decisión)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Consumo por evaluación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Habilita el cobro por suscripción mensual y la medición del uso</w:t>
            </w:r>
          </w:p>
        </w:tc>
      </w:tr>
    </w:tbl>
    <w:p>
      <w:pPr>
        <w:pStyle w:val="Heading1"/>
      </w:pPr>
      <w:r>
        <w:rPr>
          <w:rFonts w:ascii="Calibri" w:hAnsi="Calibri"/>
          <w:color w:val="102A47"/>
        </w:rPr>
        <w:t>8. Estructura de costos</w:t>
      </w:r>
    </w:p>
    <w:p>
      <w:pPr>
        <w:spacing w:after="120"/>
      </w:pPr>
      <w:r>
        <w:rPr>
          <w:b w:val="0"/>
          <w:i w:val="0"/>
          <w:sz w:val="22"/>
        </w:rPr>
        <w:t>Los costos se separan en inversión inicial única y costos recurrentes de operación.</w:t>
      </w:r>
    </w:p>
    <w:p>
      <w:pPr>
        <w:pStyle w:val="Heading2"/>
      </w:pPr>
      <w:r>
        <w:rPr>
          <w:rFonts w:ascii="Calibri" w:hAnsi="Calibri"/>
          <w:color w:val="102A47"/>
        </w:rPr>
        <w:t>8.1 Inversión inicial (costo único de desarrollo)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336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3168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Monto (Gs.)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Recursos humanos (500 h de desarrollo)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5.000.000</w:t>
            </w:r>
          </w:p>
        </w:tc>
      </w:tr>
      <w:tr>
        <w:tc>
          <w:tcPr>
            <w:tcW w:type="dxa" w:w="6336"/>
            <w:shd w:val="clear" w:color="auto" w:fill="EEF2F7"/>
          </w:tcPr>
          <w:p>
            <w:r/>
            <w:r>
              <w:rPr>
                <w:sz w:val="19"/>
              </w:rPr>
              <w:t>Hardware (laptop + smartphone de pruebas)</w:t>
            </w:r>
          </w:p>
        </w:tc>
        <w:tc>
          <w:tcPr>
            <w:tcW w:type="dxa" w:w="3168"/>
            <w:shd w:val="clear" w:color="auto" w:fill="EEF2F7"/>
          </w:tcPr>
          <w:p>
            <w:r/>
            <w:r>
              <w:rPr>
                <w:sz w:val="19"/>
              </w:rPr>
              <w:t>4.300.000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9"/>
              </w:rPr>
              <w:t>Software y licencias del período de desarrollo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232.200</w:t>
            </w:r>
          </w:p>
        </w:tc>
      </w:tr>
      <w:tr>
        <w:tc>
          <w:tcPr>
            <w:tcW w:type="dxa" w:w="6336"/>
            <w:shd w:val="clear" w:color="auto" w:fill="EEF2F7"/>
          </w:tcPr>
          <w:p>
            <w:r/>
            <w:r>
              <w:rPr>
                <w:sz w:val="19"/>
              </w:rPr>
              <w:t>Total inversión inicial</w:t>
            </w:r>
          </w:p>
        </w:tc>
        <w:tc>
          <w:tcPr>
            <w:tcW w:type="dxa" w:w="3168"/>
            <w:shd w:val="clear" w:color="auto" w:fill="EEF2F7"/>
          </w:tcPr>
          <w:p>
            <w:r/>
            <w:r>
              <w:rPr>
                <w:sz w:val="19"/>
              </w:rPr>
              <w:t>9.532.200 (≈ US$ 1.306)</w:t>
            </w:r>
          </w:p>
        </w:tc>
      </w:tr>
    </w:tbl>
    <w:p>
      <w:pPr>
        <w:spacing w:after="120"/>
      </w:pPr>
      <w:r>
        <w:rPr>
          <w:b w:val="0"/>
          <w:i/>
          <w:color w:val="555555"/>
          <w:sz w:val="19"/>
        </w:rPr>
        <w:t>Los gastos administrativos de la tesis (impresión, encuadernación, viáticos: Gs. 731.250) se consideran propios del trabajo académico y se excluyen del modelo comercial.</w:t>
      </w:r>
    </w:p>
    <w:p>
      <w:pPr>
        <w:pStyle w:val="Heading2"/>
      </w:pPr>
      <w:r>
        <w:rPr>
          <w:rFonts w:ascii="Calibri" w:hAnsi="Calibri"/>
          <w:color w:val="102A47"/>
        </w:rPr>
        <w:t>8.2 Costos recurrentes (operación mensual)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184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160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Mensual (Gs.)</w:t>
            </w:r>
          </w:p>
        </w:tc>
        <w:tc>
          <w:tcPr>
            <w:tcW w:type="dxa" w:w="2160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Anual (Gs.)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Hosting backend (Render Starter)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51.100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613.200</w:t>
            </w:r>
          </w:p>
        </w:tc>
      </w:tr>
      <w:tr>
        <w:tc>
          <w:tcPr>
            <w:tcW w:type="dxa" w:w="5184"/>
            <w:shd w:val="clear" w:color="auto" w:fill="EEF2F7"/>
          </w:tcPr>
          <w:p>
            <w:r/>
            <w:r>
              <w:rPr>
                <w:sz w:val="19"/>
              </w:rPr>
              <w:t>Base de datos PostgreSQL (Render)</w:t>
            </w:r>
          </w:p>
        </w:tc>
        <w:tc>
          <w:tcPr>
            <w:tcW w:type="dxa" w:w="2160"/>
            <w:shd w:val="clear" w:color="auto" w:fill="EEF2F7"/>
          </w:tcPr>
          <w:p>
            <w:r/>
            <w:r>
              <w:rPr>
                <w:sz w:val="19"/>
              </w:rPr>
              <w:t>51.100</w:t>
            </w:r>
          </w:p>
        </w:tc>
        <w:tc>
          <w:tcPr>
            <w:tcW w:type="dxa" w:w="2160"/>
            <w:shd w:val="clear" w:color="auto" w:fill="EEF2F7"/>
          </w:tcPr>
          <w:p>
            <w:r/>
            <w:r>
              <w:rPr>
                <w:sz w:val="19"/>
              </w:rPr>
              <w:t>613.200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Frontend estático (Render Free)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5184"/>
            <w:shd w:val="clear" w:color="auto" w:fill="EEF2F7"/>
          </w:tcPr>
          <w:p>
            <w:r/>
            <w:r>
              <w:rPr>
                <w:sz w:val="19"/>
              </w:rPr>
              <w:t>Dominio (prorrateado)</w:t>
            </w:r>
          </w:p>
        </w:tc>
        <w:tc>
          <w:tcPr>
            <w:tcW w:type="dxa" w:w="2160"/>
            <w:shd w:val="clear" w:color="auto" w:fill="EEF2F7"/>
          </w:tcPr>
          <w:p>
            <w:r/>
            <w:r>
              <w:rPr>
                <w:sz w:val="19"/>
              </w:rPr>
              <w:t>~7.300</w:t>
            </w:r>
          </w:p>
        </w:tc>
        <w:tc>
          <w:tcPr>
            <w:tcW w:type="dxa" w:w="2160"/>
            <w:shd w:val="clear" w:color="auto" w:fill="EEF2F7"/>
          </w:tcPr>
          <w:p>
            <w:r/>
            <w:r>
              <w:rPr>
                <w:sz w:val="19"/>
              </w:rPr>
              <w:t>~87.600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Mantenimiento del motor de scoring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~40.000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~480.000</w:t>
            </w:r>
          </w:p>
        </w:tc>
      </w:tr>
      <w:tr>
        <w:tc>
          <w:tcPr>
            <w:tcW w:type="dxa" w:w="5184"/>
            <w:shd w:val="clear" w:color="auto" w:fill="EEF2F7"/>
          </w:tcPr>
          <w:p>
            <w:r/>
            <w:r>
              <w:rPr>
                <w:sz w:val="19"/>
              </w:rPr>
              <w:t>Soporte técnico, seguridad y respaldos</w:t>
            </w:r>
          </w:p>
        </w:tc>
        <w:tc>
          <w:tcPr>
            <w:tcW w:type="dxa" w:w="2160"/>
            <w:shd w:val="clear" w:color="auto" w:fill="EEF2F7"/>
          </w:tcPr>
          <w:p>
            <w:r/>
            <w:r>
              <w:rPr>
                <w:sz w:val="19"/>
              </w:rPr>
              <w:t>~30.000</w:t>
            </w:r>
          </w:p>
        </w:tc>
        <w:tc>
          <w:tcPr>
            <w:tcW w:type="dxa" w:w="2160"/>
            <w:shd w:val="clear" w:color="auto" w:fill="EEF2F7"/>
          </w:tcPr>
          <w:p>
            <w:r/>
            <w:r>
              <w:rPr>
                <w:sz w:val="19"/>
              </w:rPr>
              <w:t>~360.000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9"/>
              </w:rPr>
              <w:t>Subtotal fijo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~179.600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~2.154.000</w:t>
            </w:r>
          </w:p>
        </w:tc>
      </w:tr>
    </w:tbl>
    <w:p>
      <w:pPr>
        <w:pStyle w:val="ListBullet"/>
      </w:pPr>
      <w:r>
        <w:rPr>
          <w:b/>
        </w:rPr>
        <w:t xml:space="preserve">Costo variable: </w:t>
      </w:r>
      <w:r>
        <w:t>comisión de la pasarela (Pagopar) por transacción, proporcional a las ventas; no integra el subtotal fijo.</w:t>
      </w:r>
    </w:p>
    <w:p>
      <w:pPr>
        <w:pStyle w:val="ListBullet"/>
      </w:pPr>
      <w:r>
        <w:rPr>
          <w:b/>
        </w:rPr>
        <w:t xml:space="preserve">Costo por evaluación: </w:t>
      </w:r>
      <w:r>
        <w:t>el costo marginal de una evaluación adicional es casi nulo; el costo relevante es el fijo mensual repartido entre las evaluaciones vendidas (~Gs. 6.000 por evaluación en el escenario conservador de 30/mes).</w:t>
      </w:r>
    </w:p>
    <w:p>
      <w:pPr>
        <w:pStyle w:val="Heading1"/>
      </w:pPr>
      <w:r>
        <w:rPr>
          <w:rFonts w:ascii="Calibri" w:hAnsi="Calibri"/>
          <w:color w:val="102A47"/>
        </w:rPr>
        <w:t>9. Modelo de ingresos y sostenibilidad</w:t>
      </w:r>
    </w:p>
    <w:p>
      <w:pPr>
        <w:spacing w:after="120"/>
      </w:pPr>
      <w:r>
        <w:rPr>
          <w:b w:val="0"/>
          <w:i w:val="0"/>
          <w:sz w:val="22"/>
        </w:rPr>
        <w:t>Los ingresos provienen de suscripciones mensuales por planes, con descuento por volumen de reportes incluidos. Al tratarse de una cuota mensual, el ingreso es recurrente.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84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1584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Reportes/mes</w:t>
            </w:r>
          </w:p>
        </w:tc>
        <w:tc>
          <w:tcPr>
            <w:tcW w:type="dxa" w:w="2160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Precio por reporte</w:t>
            </w:r>
          </w:p>
        </w:tc>
        <w:tc>
          <w:tcPr>
            <w:tcW w:type="dxa" w:w="2304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Cuota mensual</w:t>
            </w:r>
          </w:p>
        </w:tc>
        <w:tc>
          <w:tcPr>
            <w:tcW w:type="dxa" w:w="2592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Margen vs. piso (Gs. 6.000)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Bronce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Gs. 10.000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Gs. 150.000 /mes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40 %</w:t>
            </w:r>
          </w:p>
        </w:tc>
      </w:tr>
      <w:tr>
        <w:tc>
          <w:tcPr>
            <w:tcW w:type="dxa" w:w="1584"/>
            <w:shd w:val="clear" w:color="auto" w:fill="EEF2F7"/>
          </w:tcPr>
          <w:p>
            <w:r/>
            <w:r>
              <w:rPr>
                <w:sz w:val="19"/>
              </w:rPr>
              <w:t>Plata</w:t>
            </w:r>
          </w:p>
        </w:tc>
        <w:tc>
          <w:tcPr>
            <w:tcW w:type="dxa" w:w="1584"/>
            <w:shd w:val="clear" w:color="auto" w:fill="EEF2F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2160"/>
            <w:shd w:val="clear" w:color="auto" w:fill="EEF2F7"/>
          </w:tcPr>
          <w:p>
            <w:r/>
            <w:r>
              <w:rPr>
                <w:sz w:val="19"/>
              </w:rPr>
              <w:t>Gs. 9.000</w:t>
            </w:r>
          </w:p>
        </w:tc>
        <w:tc>
          <w:tcPr>
            <w:tcW w:type="dxa" w:w="2304"/>
            <w:shd w:val="clear" w:color="auto" w:fill="EEF2F7"/>
          </w:tcPr>
          <w:p>
            <w:r/>
            <w:r>
              <w:rPr>
                <w:sz w:val="19"/>
              </w:rPr>
              <w:t>Gs. 270.000 /mes</w:t>
            </w:r>
          </w:p>
        </w:tc>
        <w:tc>
          <w:tcPr>
            <w:tcW w:type="dxa" w:w="2592"/>
            <w:shd w:val="clear" w:color="auto" w:fill="EEF2F7"/>
          </w:tcPr>
          <w:p>
            <w:r/>
            <w:r>
              <w:rPr>
                <w:sz w:val="19"/>
              </w:rPr>
              <w:t>33 %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Oro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Gs. 8.000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Gs. 400.000 /mes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25 %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  <w:t>Los precios se derivan de forma justificada: superan el piso de costo (Gs. 6.000 por evaluación) y quedan por debajo del techo de valor (una evaluación manual cuesta ~Gs. 10.000–15.000), con descuento por volumen coherente.</w:t>
      </w:r>
    </w:p>
    <w:p>
      <w:pPr>
        <w:pStyle w:val="Heading2"/>
      </w:pPr>
      <w:r>
        <w:rPr>
          <w:rFonts w:ascii="Calibri" w:hAnsi="Calibri"/>
          <w:color w:val="102A47"/>
        </w:rPr>
        <w:t>9.1 Punto de equilibrio y sostenibilidad</w:t>
      </w:r>
    </w:p>
    <w:p>
      <w:pPr>
        <w:spacing w:after="120"/>
      </w:pPr>
      <w:r>
        <w:rPr>
          <w:b w:val="0"/>
          <w:i w:val="0"/>
          <w:sz w:val="22"/>
        </w:rPr>
        <w:t>Costo fijo mensual a cubrir: Gs. 179.600. Como el costo variable por evaluación es casi nulo, el margen de contribución ≈ precio del plan.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2592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Ingreso mensual</w:t>
            </w:r>
          </w:p>
        </w:tc>
        <w:tc>
          <w:tcPr>
            <w:tcW w:type="dxa" w:w="3744"/>
            <w:shd w:val="clear" w:color="auto" w:fill="102A47"/>
          </w:tcPr>
          <w:p>
            <w:r/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2 suscripciones Bronce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Gs. 300.000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Cubre el costo fijo</w:t>
            </w:r>
          </w:p>
        </w:tc>
      </w:tr>
      <w:tr>
        <w:tc>
          <w:tcPr>
            <w:tcW w:type="dxa" w:w="3168"/>
            <w:shd w:val="clear" w:color="auto" w:fill="EEF2F7"/>
          </w:tcPr>
          <w:p>
            <w:r/>
            <w:r>
              <w:rPr>
                <w:sz w:val="19"/>
              </w:rPr>
              <w:t>1 suscripción Plata</w:t>
            </w:r>
          </w:p>
        </w:tc>
        <w:tc>
          <w:tcPr>
            <w:tcW w:type="dxa" w:w="2592"/>
            <w:shd w:val="clear" w:color="auto" w:fill="EEF2F7"/>
          </w:tcPr>
          <w:p>
            <w:r/>
            <w:r>
              <w:rPr>
                <w:sz w:val="19"/>
              </w:rPr>
              <w:t>Gs. 270.000</w:t>
            </w:r>
          </w:p>
        </w:tc>
        <w:tc>
          <w:tcPr>
            <w:tcW w:type="dxa" w:w="3744"/>
            <w:shd w:val="clear" w:color="auto" w:fill="EEF2F7"/>
          </w:tcPr>
          <w:p>
            <w:r/>
            <w:r>
              <w:rPr>
                <w:sz w:val="19"/>
              </w:rPr>
              <w:t>Cubre el costo fijo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1 suscripción Oro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Gs. 400.000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Cubre el costo fijo con holgura</w:t>
            </w:r>
          </w:p>
        </w:tc>
      </w:tr>
      <w:tr>
        <w:tc>
          <w:tcPr>
            <w:tcW w:type="dxa" w:w="3168"/>
            <w:shd w:val="clear" w:color="auto" w:fill="EEF2F7"/>
          </w:tcPr>
          <w:p>
            <w:r/>
            <w:r>
              <w:rPr>
                <w:sz w:val="19"/>
              </w:rPr>
              <w:t>1 Bronce + 1 Plata</w:t>
            </w:r>
          </w:p>
        </w:tc>
        <w:tc>
          <w:tcPr>
            <w:tcW w:type="dxa" w:w="2592"/>
            <w:shd w:val="clear" w:color="auto" w:fill="EEF2F7"/>
          </w:tcPr>
          <w:p>
            <w:r/>
            <w:r>
              <w:rPr>
                <w:sz w:val="19"/>
              </w:rPr>
              <w:t>Gs. 420.000</w:t>
            </w:r>
          </w:p>
        </w:tc>
        <w:tc>
          <w:tcPr>
            <w:tcW w:type="dxa" w:w="3744"/>
            <w:shd w:val="clear" w:color="auto" w:fill="EEF2F7"/>
          </w:tcPr>
          <w:p>
            <w:r/>
            <w:r>
              <w:rPr>
                <w:sz w:val="19"/>
              </w:rPr>
              <w:t>Superávit de ~Gs. 240.400/mes</w:t>
            </w:r>
          </w:p>
        </w:tc>
      </w:tr>
    </w:tbl>
    <w:p>
      <w:pPr>
        <w:spacing w:after="120"/>
      </w:pPr>
      <w:r>
        <w:rPr>
          <w:b w:val="0"/>
          <w:i/>
          <w:color w:val="2E7D32"/>
          <w:sz w:val="22"/>
        </w:rPr>
        <w:t>Con una sola suscripción Plata u Oro al mes el modelo ya cubre infraestructura, soporte y mantenimiento. Al ser ingresos recurrentes, cada suscripción activa aporta todos los meses. La inversión inicial (Gs. 9.532.200) se recupera en ~40 meses con un superávit de Gs. 240.400/mes, o en ~8 meses con 5 suscripciones Plata mensuales.</w:t>
      </w:r>
    </w:p>
    <w:p>
      <w:pPr>
        <w:pStyle w:val="Heading1"/>
      </w:pPr>
      <w:r>
        <w:rPr>
          <w:rFonts w:ascii="Calibri" w:hAnsi="Calibri"/>
          <w:color w:val="102A47"/>
        </w:rPr>
        <w:t>10. Business Model Canvas final</w:t>
      </w:r>
    </w:p>
    <w:p>
      <w:pPr>
        <w:spacing w:after="120"/>
      </w:pPr>
      <w:r>
        <w:rPr>
          <w:b w:val="0"/>
          <w:i w:val="0"/>
          <w:sz w:val="22"/>
        </w:rPr>
        <w:t>El Canvas sintetiza los nueve bloques del modelo. El Canvas representa la lógica del negocio; no la reemplaza.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504"/>
            <w:shd w:val="clear" w:color="auto" w:fill="2E5A8C"/>
          </w:tcPr>
          <w:p>
            <w:r/>
            <w:r>
              <w:rPr>
                <w:b/>
                <w:color w:val="FFFFFF"/>
                <w:sz w:val="20"/>
              </w:rPr>
              <w:t>1. Segmentos de clientes</w:t>
            </w:r>
          </w:p>
        </w:tc>
      </w:tr>
      <w:tr>
        <w:tc>
          <w:tcPr>
            <w:tcW w:type="dxa" w:w="9504"/>
          </w:tcPr>
          <w:p>
            <w:r/>
            <w:r>
              <w:rPr>
                <w:sz w:val="19"/>
              </w:rPr>
              <w:t>Cliente y pagador: inmobiliarias de Asunción. Usuarios: administradores y responsables de evaluación autorizados. Necesidad: agilizar y estandarizar el análisis de clientes y apoyar decisiones de riesgo.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504"/>
            <w:shd w:val="clear" w:color="auto" w:fill="2E5A8C"/>
          </w:tcPr>
          <w:p>
            <w:r/>
            <w:r>
              <w:rPr>
                <w:b/>
                <w:color w:val="FFFFFF"/>
                <w:sz w:val="20"/>
              </w:rPr>
              <w:t>2. Propuesta de valor</w:t>
            </w:r>
          </w:p>
        </w:tc>
      </w:tr>
      <w:tr>
        <w:tc>
          <w:tcPr>
            <w:tcW w:type="dxa" w:w="9504"/>
          </w:tcPr>
          <w:p>
            <w:r/>
            <w:r>
              <w:rPr>
                <w:sz w:val="19"/>
              </w:rPr>
              <w:t>Evaluación automatizada del riesgo con variables como ingresos, historial de pagos, endeudamiento y comportamiento financiero. Reglas IF-THEN parametrizadas que entregan puntaje y clasificación Alto/Medio/Bajo. Verificación automática contra listas negras ONU/OFAC (diferenciador). Reportes de apoyo a la decisión. Objetivo: reducir el tiempo de evaluación de 20–40 a 5–10 min.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504"/>
            <w:shd w:val="clear" w:color="auto" w:fill="2E5A8C"/>
          </w:tcPr>
          <w:p>
            <w:r/>
            <w:r>
              <w:rPr>
                <w:b/>
                <w:color w:val="FFFFFF"/>
                <w:sz w:val="20"/>
              </w:rPr>
              <w:t>3. Canales</w:t>
            </w:r>
          </w:p>
        </w:tc>
      </w:tr>
      <w:tr>
        <w:tc>
          <w:tcPr>
            <w:tcW w:type="dxa" w:w="9504"/>
          </w:tcPr>
          <w:p>
            <w:r/>
            <w:r>
              <w:rPr>
                <w:sz w:val="19"/>
              </w:rPr>
              <w:t>Plataforma web. Contacto comercial directo con inmobiliarias. Demostración del sistema. Canales digitales de soporte y comunicación.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504"/>
            <w:shd w:val="clear" w:color="auto" w:fill="2E5A8C"/>
          </w:tcPr>
          <w:p>
            <w:r/>
            <w:r>
              <w:rPr>
                <w:b/>
                <w:color w:val="FFFFFF"/>
                <w:sz w:val="20"/>
              </w:rPr>
              <w:t>4. Relación con clientes</w:t>
            </w:r>
          </w:p>
        </w:tc>
      </w:tr>
      <w:tr>
        <w:tc>
          <w:tcPr>
            <w:tcW w:type="dxa" w:w="9504"/>
          </w:tcPr>
          <w:p>
            <w:r/>
            <w:r>
              <w:rPr>
                <w:sz w:val="19"/>
              </w:rPr>
              <w:t>Soporte técnico y asistencia durante el uso. Orientación inicial y capacitación básica a usuarios autorizados. Mantenimiento y actualizaciones. Comunicación digital.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504"/>
            <w:shd w:val="clear" w:color="auto" w:fill="2E5A8C"/>
          </w:tcPr>
          <w:p>
            <w:r/>
            <w:r>
              <w:rPr>
                <w:b/>
                <w:color w:val="FFFFFF"/>
                <w:sz w:val="20"/>
              </w:rPr>
              <w:t>5. Fuentes de ingreso</w:t>
            </w:r>
          </w:p>
        </w:tc>
      </w:tr>
      <w:tr>
        <w:tc>
          <w:tcPr>
            <w:tcW w:type="dxa" w:w="9504"/>
          </w:tcPr>
          <w:p>
            <w:r/>
            <w:r>
              <w:rPr>
                <w:sz w:val="19"/>
              </w:rPr>
              <w:t>Suscripción mensual por planes: Bronce (15 reportes/mes — Gs. 150.000), Plata (30 reportes/mes — Gs. 270.000), Oro (50 reportes/mes — Gs. 400.000). Evaluaciones adicionales al superar el cupo mensual. Ingresos recurrentes mes a mes.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504"/>
            <w:shd w:val="clear" w:color="auto" w:fill="2E5A8C"/>
          </w:tcPr>
          <w:p>
            <w:r/>
            <w:r>
              <w:rPr>
                <w:b/>
                <w:color w:val="FFFFFF"/>
                <w:sz w:val="20"/>
              </w:rPr>
              <w:t>6. Recursos clave</w:t>
            </w:r>
          </w:p>
        </w:tc>
      </w:tr>
      <w:tr>
        <w:tc>
          <w:tcPr>
            <w:tcW w:type="dxa" w:w="9504"/>
          </w:tcPr>
          <w:p>
            <w:r/>
            <w:r>
              <w:rPr>
                <w:sz w:val="19"/>
              </w:rPr>
              <w:t>Plataforma web React/Flask y base de datos. Motor de reglas, criterios y conocimiento del dominio. Reglas IF-THEN validadas. Infraestructura de alojamiento, seguridad, respaldos y soporte.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504"/>
            <w:shd w:val="clear" w:color="auto" w:fill="2E5A8C"/>
          </w:tcPr>
          <w:p>
            <w:r/>
            <w:r>
              <w:rPr>
                <w:b/>
                <w:color w:val="FFFFFF"/>
                <w:sz w:val="20"/>
              </w:rPr>
              <w:t>7. Actividades clave</w:t>
            </w:r>
          </w:p>
        </w:tc>
      </w:tr>
      <w:tr>
        <w:tc>
          <w:tcPr>
            <w:tcW w:type="dxa" w:w="9504"/>
          </w:tcPr>
          <w:p>
            <w:r/>
            <w:r>
              <w:rPr>
                <w:sz w:val="19"/>
              </w:rPr>
              <w:t>Desarrollo y mantenimiento del sistema. Configuración y actualización de criterios y reglas IF-THEN. Procesamiento de evaluaciones y generación de reportes. Validación funcional. Soporte.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504"/>
            <w:shd w:val="clear" w:color="auto" w:fill="2E5A8C"/>
          </w:tcPr>
          <w:p>
            <w:r/>
            <w:r>
              <w:rPr>
                <w:b/>
                <w:color w:val="FFFFFF"/>
                <w:sz w:val="20"/>
              </w:rPr>
              <w:t>8. Socios/recursos externos</w:t>
            </w:r>
          </w:p>
        </w:tc>
      </w:tr>
      <w:tr>
        <w:tc>
          <w:tcPr>
            <w:tcW w:type="dxa" w:w="9504"/>
          </w:tcPr>
          <w:p>
            <w:r/>
            <w:r>
              <w:rPr>
                <w:sz w:val="19"/>
              </w:rPr>
              <w:t>No se definen socios comerciales. Proveedores de tecnología (no socios): Render (infraestructura), GitHub (repositorio), Pagopar (pasarela de pagos). ONU/OFAC: fuentes externas de información.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504"/>
            <w:shd w:val="clear" w:color="auto" w:fill="2E5A8C"/>
          </w:tcPr>
          <w:p>
            <w:r/>
            <w:r>
              <w:rPr>
                <w:b/>
                <w:color w:val="FFFFFF"/>
                <w:sz w:val="20"/>
              </w:rPr>
              <w:t>9. Estructura de costos</w:t>
            </w:r>
          </w:p>
        </w:tc>
      </w:tr>
      <w:tr>
        <w:tc>
          <w:tcPr>
            <w:tcW w:type="dxa" w:w="9504"/>
          </w:tcPr>
          <w:p>
            <w:r/>
            <w:r>
              <w:rPr>
                <w:sz w:val="19"/>
              </w:rPr>
              <w:t>Inversión inicial única: ~Gs. 9.532.200. Costos recurrentes fijos: ~Gs. 179.600/mes (~Gs. 2.154.000/año). Costo variable: comisión de pasarela por transacción.</w:t>
            </w:r>
          </w:p>
        </w:tc>
      </w:tr>
    </w:tbl>
    <w:p>
      <w:pPr>
        <w:pStyle w:val="Heading1"/>
      </w:pPr>
      <w:r>
        <w:rPr>
          <w:rFonts w:ascii="Calibri" w:hAnsi="Calibri"/>
          <w:color w:val="102A47"/>
        </w:rPr>
        <w:t>11. Análisis integral del Canvas</w:t>
      </w:r>
    </w:p>
    <w:p>
      <w:pPr>
        <w:spacing w:after="120"/>
      </w:pPr>
      <w:r>
        <w:rPr>
          <w:b w:val="0"/>
          <w:i w:val="0"/>
          <w:sz w:val="22"/>
        </w:rPr>
        <w:t>El análisis transversal muestra cómo los bloques se refuerzan entre sí y se agrupan en tres ejes:</w:t>
      </w:r>
    </w:p>
    <w:p>
      <w:pPr>
        <w:pStyle w:val="ListBullet"/>
      </w:pPr>
      <w:r>
        <w:rPr>
          <w:b/>
        </w:rPr>
        <w:t xml:space="preserve">Eje de mercado: </w:t>
      </w:r>
      <w:r>
        <w:t>segmentos, canales y relación con clientes. Define a quién se sirve (inmobiliarias) y cómo se le llega (plataforma web + contacto directo).</w:t>
      </w:r>
    </w:p>
    <w:p>
      <w:pPr>
        <w:pStyle w:val="ListBullet"/>
      </w:pPr>
      <w:r>
        <w:rPr>
          <w:b/>
        </w:rPr>
        <w:t xml:space="preserve">Eje de operación: </w:t>
      </w:r>
      <w:r>
        <w:t>recursos, actividades y socios/recursos externos. Sostiene la operación: el motor de reglas y la infraestructura permiten procesar evaluaciones de forma continua.</w:t>
      </w:r>
    </w:p>
    <w:p>
      <w:pPr>
        <w:pStyle w:val="ListBullet"/>
      </w:pPr>
      <w:r>
        <w:rPr>
          <w:b/>
        </w:rPr>
        <w:t xml:space="preserve">Eje central: </w:t>
      </w:r>
      <w:r>
        <w:t>la propuesta de valor conecta ambos ejes, equilibrada por la estructura de costos y las fuentes de ingreso.</w:t>
      </w:r>
    </w:p>
    <w:p>
      <w:pPr>
        <w:spacing w:after="120"/>
      </w:pPr>
      <w:r>
        <w:rPr>
          <w:b w:val="0"/>
          <w:i w:val="0"/>
          <w:sz w:val="22"/>
        </w:rPr>
        <w:t>Coherencia observada:</w:t>
      </w:r>
    </w:p>
    <w:p>
      <w:pPr>
        <w:pStyle w:val="ListBullet"/>
      </w:pPr>
      <w:r>
        <w:t>La propuesta de valor (evaluación objetiva y cumplimiento) responde directamente al problema del segmento (subjetividad, lentitud, riesgo de compliance).</w:t>
      </w:r>
    </w:p>
    <w:p>
      <w:pPr>
        <w:pStyle w:val="ListBullet"/>
      </w:pPr>
      <w:r>
        <w:t>Las fuentes de ingreso (suscripciones mensuales recurrentes) encajan con la estructura de costos (costo marginal casi nulo), lo que da márgenes amplios y previsibilidad.</w:t>
      </w:r>
    </w:p>
    <w:p>
      <w:pPr>
        <w:pStyle w:val="ListBullet"/>
      </w:pPr>
      <w:r>
        <w:t>Los recursos y actividades clave (motor de reglas, mantenimiento) son exactamente los que la propuesta de valor exige.</w:t>
      </w:r>
    </w:p>
    <w:p>
      <w:pPr>
        <w:pStyle w:val="ListBullet"/>
      </w:pPr>
      <w:r>
        <w:t>El diferenciador de verificación ONU/OFAC aparece en la propuesta de valor y se apoya en un recurso externo (fuentes de información), sin generar dependencia de un socio comercial.</w:t>
      </w:r>
    </w:p>
    <w:p>
      <w:pPr>
        <w:pStyle w:val="Heading1"/>
      </w:pPr>
      <w:r>
        <w:rPr>
          <w:rFonts w:ascii="Calibri" w:hAnsi="Calibri"/>
          <w:color w:val="102A47"/>
        </w:rPr>
        <w:t>12. Viabilidad y coherencia del modelo</w:t>
      </w:r>
    </w:p>
    <w:p>
      <w:pPr>
        <w:pStyle w:val="Heading2"/>
      </w:pPr>
      <w:r>
        <w:rPr>
          <w:rFonts w:ascii="Calibri" w:hAnsi="Calibri"/>
          <w:color w:val="102A47"/>
        </w:rPr>
        <w:t>12.1 Viabilidad económica</w:t>
      </w:r>
    </w:p>
    <w:p>
      <w:pPr>
        <w:pStyle w:val="ListBullet"/>
      </w:pPr>
      <w:r>
        <w:t>Una sola suscripción Plata u Oro mensual cubre la totalidad de los costos recurrentes.</w:t>
      </w:r>
    </w:p>
    <w:p>
      <w:pPr>
        <w:pStyle w:val="ListBullet"/>
      </w:pPr>
      <w:r>
        <w:t>Los precios quedan por encima del costo y por debajo del costo del proceso manual, lo que incentiva la adopción.</w:t>
      </w:r>
    </w:p>
    <w:p>
      <w:pPr>
        <w:pStyle w:val="ListBullet"/>
      </w:pPr>
      <w:r>
        <w:t>El costo marginal casi nulo permite escalar ingresos sin aumento proporcional de costos.</w:t>
      </w:r>
    </w:p>
    <w:p>
      <w:pPr>
        <w:pStyle w:val="Heading2"/>
      </w:pPr>
      <w:r>
        <w:rPr>
          <w:rFonts w:ascii="Calibri" w:hAnsi="Calibri"/>
          <w:color w:val="102A47"/>
        </w:rPr>
        <w:t>12.2 Viabilidad técnica</w:t>
      </w:r>
    </w:p>
    <w:p>
      <w:pPr>
        <w:pStyle w:val="ListBullet"/>
      </w:pPr>
      <w:r>
        <w:t>El sistema ya está desarrollado y operativo; el motor de reglas es parametrizable y la verificación de cumplimiento está integrada.</w:t>
      </w:r>
    </w:p>
    <w:p>
      <w:pPr>
        <w:pStyle w:val="ListBullet"/>
      </w:pPr>
      <w:r>
        <w:t>La trazabilidad y auditoría respaldan el uso del sistema como herramienta de apoyo a la decisión.</w:t>
      </w:r>
    </w:p>
    <w:p>
      <w:pPr>
        <w:pStyle w:val="Heading2"/>
      </w:pPr>
      <w:r>
        <w:rPr>
          <w:rFonts w:ascii="Calibri" w:hAnsi="Calibri"/>
          <w:color w:val="102A47"/>
        </w:rPr>
        <w:t>12.3 Coherencia del modelo</w:t>
      </w:r>
    </w:p>
    <w:p>
      <w:pPr>
        <w:spacing w:after="120"/>
      </w:pPr>
      <w:r>
        <w:rPr>
          <w:b w:val="0"/>
          <w:i w:val="0"/>
          <w:sz w:val="22"/>
        </w:rPr>
        <w:t>El modelo es coherente de extremo a extremo: el problema del segmento justifica la propuesta de valor; la propuesta de valor se sostiene en los recursos y actividades clave; estos generan un producto (reportes) que el cliente paga mediante un esquema de ingresos alineado con una estructura de costos de margen amplio. La solución se mantiene explícitamente como apoyo a la decisión humana, con lógica registrada y trazable, lo que refuerza su aceptación y su defensa metodológica.</w:t>
      </w:r>
    </w:p>
    <w:p/>
    <w:p>
      <w:pPr>
        <w:jc w:val="center"/>
      </w:pPr>
      <w:r>
        <w:rPr>
          <w:i/>
          <w:color w:val="555555"/>
          <w:sz w:val="18"/>
        </w:rPr>
        <w:t>Apartado elaborado a partir de los documentos de costos/precios y del Business Model Canvas del proyecto, en coherencia con la validación técnica del scoring.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