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55FF9849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Nombre</w:t>
            </w:r>
            <w:r w:rsidR="002178E4">
              <w:rPr>
                <w:rFonts w:ascii="Times New Roman" w:hAnsi="Times New Roman"/>
                <w:b/>
                <w:sz w:val="24"/>
                <w:szCs w:val="24"/>
              </w:rPr>
              <w:t xml:space="preserve"> Corto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024C7F5D" w:rsidR="00FC6175" w:rsidRPr="001223F4" w:rsidRDefault="00CA2811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CA2811">
              <w:rPr>
                <w:rFonts w:ascii="Times New Roman" w:hAnsi="Times New Roman"/>
                <w:b/>
                <w:sz w:val="24"/>
                <w:szCs w:val="24"/>
              </w:rPr>
              <w:t>Epistemología de la ingeniería</w:t>
            </w:r>
          </w:p>
        </w:tc>
      </w:tr>
      <w:tr w:rsidR="00CA2811" w:rsidRPr="001223F4" w14:paraId="43D70255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1A1739D5" w14:textId="21FEC06A" w:rsidR="00CA2811" w:rsidRPr="001223F4" w:rsidRDefault="00CA2811" w:rsidP="00CA2811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25F19" w14:textId="12B6DEF3" w:rsidR="00CA2811" w:rsidRDefault="00CA2811" w:rsidP="00CA2811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CA2811">
              <w:rPr>
                <w:rFonts w:ascii="Times New Roman" w:hAnsi="Times New Roman"/>
                <w:b/>
                <w:sz w:val="24"/>
                <w:szCs w:val="24"/>
              </w:rPr>
              <w:t>Epistemología de la ingeniería</w:t>
            </w:r>
          </w:p>
        </w:tc>
      </w:tr>
      <w:tr w:rsidR="00CA2811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CA2811" w:rsidRPr="001223F4" w:rsidRDefault="00CA2811" w:rsidP="00CA2811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475F54A3" w:rsidR="00CA2811" w:rsidRPr="00A43717" w:rsidRDefault="00F67639" w:rsidP="00CA2811">
            <w:pPr>
              <w:pStyle w:val="BodyTex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2356</w:t>
            </w:r>
          </w:p>
        </w:tc>
      </w:tr>
      <w:tr w:rsidR="00CA2811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CA2811" w:rsidRPr="001223F4" w:rsidRDefault="00CA2811" w:rsidP="00CA2811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CA2811" w:rsidRPr="00A270D3" w:rsidRDefault="00CA2811" w:rsidP="00CA281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CA2811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CA2811" w:rsidRPr="001223F4" w:rsidRDefault="00CA2811" w:rsidP="00CA2811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37F250A8" w:rsidR="00CA2811" w:rsidRPr="001223F4" w:rsidRDefault="001F0DE9" w:rsidP="00CA2811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0DE9">
              <w:rPr>
                <w:rFonts w:ascii="Times New Roman" w:hAnsi="Times New Roman"/>
                <w:sz w:val="24"/>
                <w:szCs w:val="24"/>
              </w:rPr>
              <w:t>El curso pretende describir las prácticas que definen a la ingeniería, abordando los problemas y los retos que la sociedad moderna se plantea a sí misma desde este quehacer. Se quiere explorar las relaciones entre la ingeniería con otros dominios del saber, esto es, la técnica, la tecnología y el arte, entre otros. Con el ánimo de explorar la flexibilidad y el potencial creativo de la ingeniería se pondrá en cuestión la concepción de que la ciencia, siempre infalible, provee el único camino hacia el conocimiento verdadero; indagando los modos en los que se ha entendido el saber, la verdad y el método científico.</w:t>
            </w:r>
          </w:p>
        </w:tc>
      </w:tr>
      <w:tr w:rsidR="00CA2811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CA2811" w:rsidRPr="001223F4" w:rsidRDefault="00CA2811" w:rsidP="00CA2811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100415A5" w:rsidR="00CA2811" w:rsidRPr="001223F4" w:rsidRDefault="00B838C8" w:rsidP="00CA2811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CA2811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CA2811" w:rsidRPr="001223F4" w:rsidRDefault="00CA2811" w:rsidP="00CA2811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408E69B8" w:rsidR="00CA2811" w:rsidRPr="001223F4" w:rsidRDefault="0044795F" w:rsidP="00CA2811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 condiciones</w:t>
            </w:r>
          </w:p>
        </w:tc>
      </w:tr>
      <w:tr w:rsidR="00CA2811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CA2811" w:rsidRPr="001223F4" w:rsidRDefault="00CA2811" w:rsidP="00CA2811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CA2811" w:rsidRPr="001223F4" w:rsidRDefault="00CA2811" w:rsidP="00CA2811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F90F2" w14:textId="08EAF946" w:rsidR="0092588D" w:rsidRPr="0092588D" w:rsidRDefault="0092588D" w:rsidP="0092588D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2588D">
              <w:rPr>
                <w:rFonts w:ascii="Times New Roman" w:hAnsi="Times New Roman"/>
                <w:bCs/>
                <w:sz w:val="24"/>
                <w:szCs w:val="24"/>
              </w:rPr>
              <w:t>Promover el desarrollo de habilidades analíticas y críticas.</w:t>
            </w:r>
          </w:p>
          <w:p w14:paraId="7858807B" w14:textId="5D285576" w:rsidR="0092588D" w:rsidRPr="0092588D" w:rsidRDefault="0055565A" w:rsidP="0092588D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="0092588D" w:rsidRPr="0092588D">
              <w:rPr>
                <w:rFonts w:ascii="Times New Roman" w:hAnsi="Times New Roman"/>
                <w:bCs/>
                <w:sz w:val="24"/>
                <w:szCs w:val="24"/>
              </w:rPr>
              <w:t>uscitar criterios de autonomía que lleven a la sana argumentación, interpretación y proposición de distintos planteamientos epistemológicos.</w:t>
            </w:r>
          </w:p>
          <w:p w14:paraId="7645F673" w14:textId="56F472BB" w:rsidR="0092588D" w:rsidRPr="0092588D" w:rsidRDefault="0092588D" w:rsidP="0092588D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2588D">
              <w:rPr>
                <w:rFonts w:ascii="Times New Roman" w:hAnsi="Times New Roman"/>
                <w:bCs/>
                <w:sz w:val="24"/>
                <w:szCs w:val="24"/>
              </w:rPr>
              <w:t>Propender por el aprendizaje autónomo y responsable.</w:t>
            </w:r>
          </w:p>
          <w:p w14:paraId="4AB23012" w14:textId="64D70DE5" w:rsidR="00FC6175" w:rsidRPr="001223F4" w:rsidRDefault="0092588D" w:rsidP="0092588D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92588D">
              <w:rPr>
                <w:rFonts w:ascii="Times New Roman" w:hAnsi="Times New Roman"/>
                <w:bCs/>
                <w:sz w:val="24"/>
                <w:szCs w:val="24"/>
              </w:rPr>
              <w:t>Incentivar las habilidades investigativas.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7C445" w14:textId="77777777" w:rsidR="00F41223" w:rsidRPr="00F41223" w:rsidRDefault="00F41223" w:rsidP="00F4122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F41223">
              <w:rPr>
                <w:rFonts w:ascii="Times New Roman" w:hAnsi="Times New Roman"/>
                <w:sz w:val="24"/>
                <w:szCs w:val="24"/>
              </w:rPr>
              <w:t xml:space="preserve">El estudiante: </w:t>
            </w:r>
          </w:p>
          <w:p w14:paraId="6EF5CB2F" w14:textId="77777777" w:rsidR="004F0D7F" w:rsidRDefault="00F41223" w:rsidP="00F41223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41223">
              <w:rPr>
                <w:rFonts w:ascii="Times New Roman" w:hAnsi="Times New Roman"/>
                <w:sz w:val="24"/>
                <w:szCs w:val="24"/>
              </w:rPr>
              <w:t>Descompone y categoriza problemas del conocimiento.</w:t>
            </w:r>
          </w:p>
          <w:p w14:paraId="3836710D" w14:textId="77777777" w:rsidR="004F0D7F" w:rsidRDefault="00F41223" w:rsidP="00F41223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4F0D7F">
              <w:rPr>
                <w:rFonts w:ascii="Times New Roman" w:hAnsi="Times New Roman"/>
                <w:sz w:val="24"/>
                <w:szCs w:val="24"/>
              </w:rPr>
              <w:lastRenderedPageBreak/>
              <w:t>Demuestra de forma oral y escrita posturas y criterios personales sobre la teoría del conocimiento.</w:t>
            </w:r>
          </w:p>
          <w:p w14:paraId="77FA9520" w14:textId="77777777" w:rsidR="004F0D7F" w:rsidRDefault="00F41223" w:rsidP="00F41223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4F0D7F">
              <w:rPr>
                <w:rFonts w:ascii="Times New Roman" w:hAnsi="Times New Roman"/>
                <w:sz w:val="24"/>
                <w:szCs w:val="24"/>
              </w:rPr>
              <w:t>Identifica los alcances y los límites de las diversas propuestas teóricas.</w:t>
            </w:r>
          </w:p>
          <w:p w14:paraId="36ACC611" w14:textId="6A346B05" w:rsidR="00FC6175" w:rsidRPr="004F0D7F" w:rsidRDefault="00F41223" w:rsidP="00F41223">
            <w:pPr>
              <w:pStyle w:val="BodyText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4F0D7F">
              <w:rPr>
                <w:rFonts w:ascii="Times New Roman" w:hAnsi="Times New Roman"/>
                <w:sz w:val="24"/>
                <w:szCs w:val="24"/>
              </w:rPr>
              <w:t>Aplica las herramientas metodológicas y conceptuales básicas de investigación.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10E0F" w14:textId="63C2F39B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22DA2">
              <w:rPr>
                <w:rFonts w:ascii="Times New Roman" w:hAnsi="Times New Roman"/>
                <w:sz w:val="24"/>
                <w:szCs w:val="24"/>
              </w:rPr>
              <w:t>I.</w:t>
            </w:r>
            <w:r w:rsidRPr="00422DA2">
              <w:rPr>
                <w:rFonts w:ascii="Times New Roman" w:hAnsi="Times New Roman"/>
                <w:sz w:val="24"/>
                <w:szCs w:val="24"/>
              </w:rPr>
              <w:tab/>
              <w:t>Conceptos básicos de la epistemología.</w:t>
            </w:r>
          </w:p>
          <w:p w14:paraId="270530B7" w14:textId="77777777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22DA2">
              <w:rPr>
                <w:rFonts w:ascii="Times New Roman" w:hAnsi="Times New Roman"/>
                <w:sz w:val="24"/>
                <w:szCs w:val="24"/>
              </w:rPr>
              <w:t>a.</w:t>
            </w:r>
            <w:r w:rsidRPr="00422DA2">
              <w:rPr>
                <w:rFonts w:ascii="Times New Roman" w:hAnsi="Times New Roman"/>
                <w:sz w:val="24"/>
                <w:szCs w:val="24"/>
              </w:rPr>
              <w:tab/>
              <w:t>¿Qué es la epistemología?</w:t>
            </w:r>
          </w:p>
          <w:p w14:paraId="0D2A991A" w14:textId="77777777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22DA2">
              <w:rPr>
                <w:rFonts w:ascii="Times New Roman" w:hAnsi="Times New Roman"/>
                <w:sz w:val="24"/>
                <w:szCs w:val="24"/>
              </w:rPr>
              <w:t>b.</w:t>
            </w:r>
            <w:r w:rsidRPr="00422DA2">
              <w:rPr>
                <w:rFonts w:ascii="Times New Roman" w:hAnsi="Times New Roman"/>
                <w:sz w:val="24"/>
                <w:szCs w:val="24"/>
              </w:rPr>
              <w:tab/>
              <w:t>Caracterización de la ciencia.</w:t>
            </w:r>
          </w:p>
          <w:p w14:paraId="36402BE6" w14:textId="77777777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22DA2">
              <w:rPr>
                <w:rFonts w:ascii="Times New Roman" w:hAnsi="Times New Roman"/>
                <w:sz w:val="24"/>
                <w:szCs w:val="24"/>
              </w:rPr>
              <w:t>c.</w:t>
            </w:r>
            <w:r w:rsidRPr="00422DA2">
              <w:rPr>
                <w:rFonts w:ascii="Times New Roman" w:hAnsi="Times New Roman"/>
                <w:sz w:val="24"/>
                <w:szCs w:val="24"/>
              </w:rPr>
              <w:tab/>
              <w:t>Nociones fundamentales para el análisis epistemológico.</w:t>
            </w:r>
          </w:p>
          <w:p w14:paraId="56E0EBE6" w14:textId="77777777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22DA2">
              <w:rPr>
                <w:rFonts w:ascii="Times New Roman" w:hAnsi="Times New Roman"/>
                <w:sz w:val="24"/>
                <w:szCs w:val="24"/>
              </w:rPr>
              <w:t>d.</w:t>
            </w:r>
            <w:r w:rsidRPr="00422DA2">
              <w:rPr>
                <w:rFonts w:ascii="Times New Roman" w:hAnsi="Times New Roman"/>
                <w:sz w:val="24"/>
                <w:szCs w:val="24"/>
              </w:rPr>
              <w:tab/>
              <w:t>El problema del método en la ciencia.</w:t>
            </w:r>
          </w:p>
          <w:p w14:paraId="0DC6AC20" w14:textId="77777777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5DBD0968" w14:textId="11BEE77A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22DA2">
              <w:rPr>
                <w:rFonts w:ascii="Times New Roman" w:hAnsi="Times New Roman"/>
                <w:sz w:val="24"/>
                <w:szCs w:val="24"/>
              </w:rPr>
              <w:t>II.</w:t>
            </w:r>
            <w:r w:rsidRPr="00422DA2">
              <w:rPr>
                <w:rFonts w:ascii="Times New Roman" w:hAnsi="Times New Roman"/>
                <w:sz w:val="24"/>
                <w:szCs w:val="24"/>
              </w:rPr>
              <w:tab/>
              <w:t>Enfoques epistemológicos.</w:t>
            </w:r>
          </w:p>
          <w:p w14:paraId="381EBA04" w14:textId="77777777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22DA2">
              <w:rPr>
                <w:rFonts w:ascii="Times New Roman" w:hAnsi="Times New Roman"/>
                <w:sz w:val="24"/>
                <w:szCs w:val="24"/>
              </w:rPr>
              <w:t>a.</w:t>
            </w:r>
            <w:r w:rsidRPr="00422DA2">
              <w:rPr>
                <w:rFonts w:ascii="Times New Roman" w:hAnsi="Times New Roman"/>
                <w:sz w:val="24"/>
                <w:szCs w:val="24"/>
              </w:rPr>
              <w:tab/>
              <w:t>El concepto de paradigma.</w:t>
            </w:r>
          </w:p>
          <w:p w14:paraId="0DD30020" w14:textId="77777777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22DA2">
              <w:rPr>
                <w:rFonts w:ascii="Times New Roman" w:hAnsi="Times New Roman"/>
                <w:sz w:val="24"/>
                <w:szCs w:val="24"/>
              </w:rPr>
              <w:t>b.</w:t>
            </w:r>
            <w:r w:rsidRPr="00422DA2">
              <w:rPr>
                <w:rFonts w:ascii="Times New Roman" w:hAnsi="Times New Roman"/>
                <w:sz w:val="24"/>
                <w:szCs w:val="24"/>
              </w:rPr>
              <w:tab/>
              <w:t>Criterio de demarcación de la ciencia.</w:t>
            </w:r>
          </w:p>
          <w:p w14:paraId="72B888D7" w14:textId="77777777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22DA2">
              <w:rPr>
                <w:rFonts w:ascii="Times New Roman" w:hAnsi="Times New Roman"/>
                <w:sz w:val="24"/>
                <w:szCs w:val="24"/>
              </w:rPr>
              <w:t>c.</w:t>
            </w:r>
            <w:r w:rsidRPr="00422DA2">
              <w:rPr>
                <w:rFonts w:ascii="Times New Roman" w:hAnsi="Times New Roman"/>
                <w:sz w:val="24"/>
                <w:szCs w:val="24"/>
              </w:rPr>
              <w:tab/>
              <w:t>Críticas a las epistemologías tradicionales.</w:t>
            </w:r>
          </w:p>
          <w:p w14:paraId="2C66894E" w14:textId="77777777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5E42C177" w14:textId="456D6B6C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22DA2">
              <w:rPr>
                <w:rFonts w:ascii="Times New Roman" w:hAnsi="Times New Roman"/>
                <w:sz w:val="24"/>
                <w:szCs w:val="24"/>
              </w:rPr>
              <w:t>III.</w:t>
            </w:r>
            <w:r w:rsidRPr="00422DA2">
              <w:rPr>
                <w:rFonts w:ascii="Times New Roman" w:hAnsi="Times New Roman"/>
                <w:sz w:val="24"/>
                <w:szCs w:val="24"/>
              </w:rPr>
              <w:tab/>
              <w:t>La ingeniería y la epistemología.</w:t>
            </w:r>
          </w:p>
          <w:p w14:paraId="4204E70B" w14:textId="77777777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22DA2">
              <w:rPr>
                <w:rFonts w:ascii="Times New Roman" w:hAnsi="Times New Roman"/>
                <w:sz w:val="24"/>
                <w:szCs w:val="24"/>
              </w:rPr>
              <w:t>a. Distinción entre ciencia e ingeniería.</w:t>
            </w:r>
          </w:p>
          <w:p w14:paraId="512071A7" w14:textId="77777777" w:rsidR="00422DA2" w:rsidRPr="00422DA2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22DA2">
              <w:rPr>
                <w:rFonts w:ascii="Times New Roman" w:hAnsi="Times New Roman"/>
                <w:sz w:val="24"/>
                <w:szCs w:val="24"/>
              </w:rPr>
              <w:t>b. El estatus epistemológico de la ingeniería.</w:t>
            </w:r>
          </w:p>
          <w:p w14:paraId="5445EAF1" w14:textId="64B4F9A5" w:rsidR="00FC6175" w:rsidRPr="001223F4" w:rsidRDefault="00422DA2" w:rsidP="00422DA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422DA2">
              <w:rPr>
                <w:rFonts w:ascii="Times New Roman" w:hAnsi="Times New Roman"/>
                <w:sz w:val="24"/>
                <w:szCs w:val="24"/>
              </w:rPr>
              <w:t>c. Hacia una epistemología de la ingeniería.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39A1EFC8" w:rsidR="00FC6175" w:rsidRPr="001223F4" w:rsidRDefault="00B27C67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B27C67">
              <w:rPr>
                <w:rFonts w:ascii="Times New Roman" w:hAnsi="Times New Roman"/>
                <w:bCs/>
                <w:sz w:val="24"/>
                <w:szCs w:val="24"/>
              </w:rPr>
              <w:t>El profesor en cada clase presentará las diferentes temáticas brindando las herramientas teóricas y conceptuales que se requieren para la apropiación de las mismas. También será moderador de los procesos de discusión individual o grupales. Es necesario que cada uno de los estudiantes lea los textos propuestos para cada clase, de tal manera que el trabajo tenga sólidas bases para los ejercicios de interpretación, argumentación, proposición e investigación.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58EE8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Criterios:</w:t>
            </w:r>
          </w:p>
          <w:p w14:paraId="3F382B21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-</w:t>
            </w:r>
            <w:r w:rsidRPr="00C604F7">
              <w:rPr>
                <w:rFonts w:ascii="Times New Roman" w:hAnsi="Times New Roman"/>
                <w:sz w:val="24"/>
                <w:szCs w:val="24"/>
              </w:rPr>
              <w:tab/>
              <w:t>Asistencia puntual a clases.</w:t>
            </w:r>
          </w:p>
          <w:p w14:paraId="68DB6A73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-</w:t>
            </w:r>
            <w:r w:rsidRPr="00C604F7">
              <w:rPr>
                <w:rFonts w:ascii="Times New Roman" w:hAnsi="Times New Roman"/>
                <w:sz w:val="24"/>
                <w:szCs w:val="24"/>
              </w:rPr>
              <w:tab/>
              <w:t>Actitud respetuosa en las dinámicas de la clase.</w:t>
            </w:r>
          </w:p>
          <w:p w14:paraId="448FB956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-</w:t>
            </w:r>
            <w:r w:rsidRPr="00C604F7">
              <w:rPr>
                <w:rFonts w:ascii="Times New Roman" w:hAnsi="Times New Roman"/>
                <w:sz w:val="24"/>
                <w:szCs w:val="24"/>
              </w:rPr>
              <w:tab/>
              <w:t>Preparación previa de las lecturas propuestas para el curso.</w:t>
            </w:r>
          </w:p>
          <w:p w14:paraId="58C5DFDF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-</w:t>
            </w:r>
            <w:r w:rsidRPr="00C604F7">
              <w:rPr>
                <w:rFonts w:ascii="Times New Roman" w:hAnsi="Times New Roman"/>
                <w:sz w:val="24"/>
                <w:szCs w:val="24"/>
              </w:rPr>
              <w:tab/>
              <w:t>Entrega puntual de actividades.</w:t>
            </w:r>
          </w:p>
          <w:p w14:paraId="3A2A60BA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-</w:t>
            </w:r>
            <w:r w:rsidRPr="00C604F7">
              <w:rPr>
                <w:rFonts w:ascii="Times New Roman" w:hAnsi="Times New Roman"/>
                <w:sz w:val="24"/>
                <w:szCs w:val="24"/>
              </w:rPr>
              <w:tab/>
              <w:t>Coherencia, precisión en el uso de los conceptos, sustentación argumentada de enunciados, pertinencia y relevancia de los planteamientos.</w:t>
            </w:r>
          </w:p>
          <w:p w14:paraId="06CD9CEF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190A3CBE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Estrategias:</w:t>
            </w:r>
          </w:p>
          <w:p w14:paraId="38C8F62D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-</w:t>
            </w:r>
            <w:r w:rsidRPr="00C604F7">
              <w:rPr>
                <w:rFonts w:ascii="Times New Roman" w:hAnsi="Times New Roman"/>
                <w:sz w:val="24"/>
                <w:szCs w:val="24"/>
              </w:rPr>
              <w:tab/>
              <w:t>Textos escritos.</w:t>
            </w:r>
          </w:p>
          <w:p w14:paraId="1098FC2F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-</w:t>
            </w:r>
            <w:r w:rsidRPr="00C604F7">
              <w:rPr>
                <w:rFonts w:ascii="Times New Roman" w:hAnsi="Times New Roman"/>
                <w:sz w:val="24"/>
                <w:szCs w:val="24"/>
              </w:rPr>
              <w:tab/>
              <w:t>Presentaciones orales.</w:t>
            </w:r>
          </w:p>
          <w:p w14:paraId="580F56C3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-</w:t>
            </w:r>
            <w:r w:rsidRPr="00C604F7">
              <w:rPr>
                <w:rFonts w:ascii="Times New Roman" w:hAnsi="Times New Roman"/>
                <w:sz w:val="24"/>
                <w:szCs w:val="24"/>
              </w:rPr>
              <w:tab/>
              <w:t>Discusión.</w:t>
            </w:r>
          </w:p>
          <w:p w14:paraId="5F805FD0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5AE89AC2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Instrumentos:</w:t>
            </w:r>
          </w:p>
          <w:p w14:paraId="2885E968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-</w:t>
            </w:r>
            <w:r w:rsidRPr="00C604F7">
              <w:rPr>
                <w:rFonts w:ascii="Times New Roman" w:hAnsi="Times New Roman"/>
                <w:sz w:val="24"/>
                <w:szCs w:val="24"/>
              </w:rPr>
              <w:tab/>
              <w:t>Parciales escritos.</w:t>
            </w:r>
          </w:p>
          <w:p w14:paraId="345807F5" w14:textId="77777777" w:rsidR="00C604F7" w:rsidRPr="00C604F7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-</w:t>
            </w:r>
            <w:r w:rsidRPr="00C604F7">
              <w:rPr>
                <w:rFonts w:ascii="Times New Roman" w:hAnsi="Times New Roman"/>
                <w:sz w:val="24"/>
                <w:szCs w:val="24"/>
              </w:rPr>
              <w:tab/>
              <w:t>Sustentación oral.</w:t>
            </w:r>
          </w:p>
          <w:p w14:paraId="2194EB93" w14:textId="30361F4A" w:rsidR="00FC6175" w:rsidRPr="001223F4" w:rsidRDefault="00C604F7" w:rsidP="00C604F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C604F7">
              <w:rPr>
                <w:rFonts w:ascii="Times New Roman" w:hAnsi="Times New Roman"/>
                <w:sz w:val="24"/>
                <w:szCs w:val="24"/>
              </w:rPr>
              <w:t>-</w:t>
            </w:r>
            <w:r w:rsidRPr="00C604F7">
              <w:rPr>
                <w:rFonts w:ascii="Times New Roman" w:hAnsi="Times New Roman"/>
                <w:sz w:val="24"/>
                <w:szCs w:val="24"/>
              </w:rPr>
              <w:tab/>
              <w:t>Trabajo de clase.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7C273" w14:textId="77777777" w:rsidR="00195B69" w:rsidRPr="00195B69" w:rsidRDefault="00195B69" w:rsidP="00211627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Referencias Básicas:</w:t>
            </w:r>
          </w:p>
          <w:p w14:paraId="74BBB168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Aristóteles, (1990).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Metafísica,México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Porrua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F91D7E4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Descartes, R. (2002).  Meditaciones Metafísicas, Bogotá: Anagrama.</w:t>
            </w:r>
          </w:p>
          <w:p w14:paraId="7914426E" w14:textId="77777777" w:rsidR="00195B69" w:rsidRPr="00211627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1162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Dias de Figueiredo, Antonio (2008), ¿Toward an Epistemology of Engineering¿ in Workshop on Philosophy &amp; Engineering, November, London: Royal Engineering Academy, pp. 94-95.</w:t>
            </w:r>
          </w:p>
          <w:p w14:paraId="194578CA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Kuhn T.S. (1989). ¿Qué son las revoluciones científicas? y otros ensayos, Barcelona: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Paidos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937968E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Platón, (1999). Diálogos,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México:Porrua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4978FC5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Valencia, A. (2004). ¿La relación entre la ingeniería y la ciencia¿ en Revista Facultad de Ingeniería Universidad de Antioquia, Medellín, Colombia (N 31, junio), pp.156-174.</w:t>
            </w:r>
          </w:p>
          <w:p w14:paraId="4573254C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Referencias Complementarias:</w:t>
            </w:r>
          </w:p>
          <w:p w14:paraId="6D6ABF4E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Aracil, J. (1999). ¿Es menester que los ingenieros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filosofen?Argumentos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 de Razón Técnica, 2, 20-49. </w:t>
            </w:r>
          </w:p>
          <w:p w14:paraId="333A065A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Ayer, A.  El problema del conocimiento.  Buenos Aires: EUDEBA, 1985.</w:t>
            </w:r>
          </w:p>
          <w:p w14:paraId="54127DA4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Bachekard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, G. (1981).   La formación del espíritu científico. Buenos Aires: Siglo XXI.</w:t>
            </w:r>
          </w:p>
          <w:p w14:paraId="646AD956" w14:textId="77777777" w:rsidR="00195B69" w:rsidRPr="00211627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1162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Bagehot, W.(2007). Physics and Politics, NY: Cosimo Classics.</w:t>
            </w:r>
          </w:p>
          <w:p w14:paraId="7220B37F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Briones, G. (1996).  Epistemología de las ciencias sociales  (módulo 1) en especialización en teoría, métodos y técnicas de investigación social.  Bogotá: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Icfes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6B93079E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Broncano, F (2000). Mundos artificiales.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México:Paidós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2983B9A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Brown, H. (1994). La nueva filosofía de la ciencia. Madrid: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Técnos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5333885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Brown, H (1994). La nueva filosofía de la ciencia..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Madrid:Tecnos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390C1B4A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Bunge, Kuhn, Piaget. (1977)  Teorías de la causalidad. 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Salaman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:  Sígueme.</w:t>
            </w:r>
          </w:p>
          <w:p w14:paraId="207FAF9D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Bunge, M. (1980)  Epistemología. Barcelona: Ariel.</w:t>
            </w:r>
          </w:p>
          <w:p w14:paraId="5D80E9AF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Bunge, M. (1985).  Racionalidad y realismo.  Madrid: Alianza.</w:t>
            </w:r>
          </w:p>
          <w:p w14:paraId="3591BBA3" w14:textId="77777777" w:rsidR="00195B69" w:rsidRPr="00211627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1162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Clark, M., (2005). The Importance of a New Philosophy to the Post Modern Policing enviroment, Policing 28, 4, pp. 642-653</w:t>
            </w:r>
          </w:p>
          <w:p w14:paraId="32D8269F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Cohen, B. (1989).  Revolución en la ciencia. Barcelona: Gedisa.</w:t>
            </w:r>
          </w:p>
          <w:p w14:paraId="294E6367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Copérnico, N. (1994). Sobre las revoluciones de las orbes celestes. Barcelona: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Altaya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3F481E64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Chalmers, A. (2003). ¿Qué es esa cosa llamada ciencia? Madrid: Siglo veintiuno.</w:t>
            </w:r>
          </w:p>
          <w:p w14:paraId="4CC2B01A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Chisholm, R.( 1982).Teoría del conocimiento,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Madrid:Tecnos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63EAC41D" w14:textId="77777777" w:rsidR="00195B69" w:rsidRPr="00211627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1162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Dias, P (2013). The Engineer¿s Identity Crisis: Homo Faber or Homo sapiens. En: M. Felder , Diane; McCarthy, Natasha and Goldberg, David (Eds.). Philosophy and engineering: Reflections on practice, principles and process. London: Springer. </w:t>
            </w:r>
          </w:p>
          <w:p w14:paraId="4072713D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Fox, E. (1998). La paradoja de la subjetividad científica. En D.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Fried,Nuevos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 paradigmas, cultura y subjetividad. Buenos Aires: Paidós.</w:t>
            </w:r>
          </w:p>
          <w:p w14:paraId="016F0FCC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Glasersfeld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, E. (1998). La construcción del conocimiento. En D.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Fried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, Nuevos paradigmas, cultura y subjetividad. Buenos Aires: Paidós.</w:t>
            </w:r>
          </w:p>
          <w:p w14:paraId="1CBDC866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Hartnack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, J. (1981).  La teoría del conocimiento de Kant. Madrid, España: Ediciones Cátedra.</w:t>
            </w:r>
          </w:p>
          <w:p w14:paraId="37BDA8E1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Hawking, S. (2002).  El universo es una cáscara de nuez.  Barcelona: Crítica.</w:t>
            </w:r>
          </w:p>
          <w:p w14:paraId="02048B15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Hawking, S.  (2007). Dios creó los números.  Barcelona: Crítica.</w:t>
            </w:r>
          </w:p>
          <w:p w14:paraId="03585D6E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Hawking, S. y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Mlodinow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, L. (2010).  El gran diseño.  Madrid: Crítica.</w:t>
            </w:r>
          </w:p>
          <w:p w14:paraId="7004EC4C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Hempel, C.(1979).  La explicación científica. Buenos Aires: Paidós.</w:t>
            </w:r>
          </w:p>
          <w:p w14:paraId="07EA1E4F" w14:textId="77777777" w:rsidR="00195B69" w:rsidRPr="00211627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1162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Jones, D.; Marchenkov, V. (2007). The Soul that Thinks: Essays on Philosophy, Narrative and Simbol in the Cinema and Thought, Ohio University.</w:t>
            </w:r>
          </w:p>
          <w:p w14:paraId="3B9966E2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Kant, I. (2000).  Prolegómenos a toda metafísica del porvenir. México: Porrúa.</w:t>
            </w:r>
          </w:p>
          <w:p w14:paraId="070CD00F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Koiré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, A. (1994). Pensar la ciencia. Paidós, Barcelona.</w:t>
            </w:r>
          </w:p>
          <w:p w14:paraId="11968EC4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Kuhn, T. (1978).  La revolución copernicana.  Ed.  Orbis,  Barcelona.</w:t>
            </w:r>
          </w:p>
          <w:p w14:paraId="57EFBB56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Lakatos, I. (1982).  Historia de la ciencia y sus reconstrucciones racionales. Madrid: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Técnos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2F2ACAF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Laudan, L. (1986). El progreso y sus problemas,  Madrid: Encuentro.</w:t>
            </w:r>
          </w:p>
          <w:p w14:paraId="52D77244" w14:textId="77777777" w:rsidR="00195B69" w:rsidRPr="00211627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1162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Lehman, R., Culler, J.(2009). The Imposibility of Being Modern: Time, Traditio and Event in Modernist Literature and Philosophy, Cornell University.</w:t>
            </w:r>
          </w:p>
          <w:p w14:paraId="2E47797D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Locke, J. (1986). Ensayo sobre el entendimiento humano.. México: PCE.</w:t>
            </w:r>
          </w:p>
          <w:p w14:paraId="070C81A3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Mardones, J. (1991). Filosofía de las ciencias humanas y sociales.  Barcelona: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Anthropos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5D5F9CC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Morin, E. (1998). Epistemología de la complejidad (421-442). En D.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Fried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, Nuevos paradigmas, cultura y subjetividad. Buenos Aires: Paidós.</w:t>
            </w:r>
          </w:p>
          <w:p w14:paraId="7CDCC7B2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Mumford, L. (1998). Técnica y civilización. Madrid: Alianza</w:t>
            </w:r>
          </w:p>
          <w:p w14:paraId="3CE5E788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Nagel, Ernest. (1981). La estructura de la ciencia Problemas de la lógica de la investigación científica.  Barcelona: Paidós.</w:t>
            </w:r>
          </w:p>
          <w:p w14:paraId="5AF02D96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Newton, I. (1987). Principios matemáticos de la filosofía natural.  Madrid: Alianza.</w:t>
            </w:r>
          </w:p>
          <w:p w14:paraId="4B11C3E2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Piñuel,  José Luis.  Epistemología, metodología y técnicas del análisis de contenido. Universidad Complutense de Madrid.  2002.   Disponible en:  http://web.jet.es/pinuel.raigada/A.Contenido.pdf</w:t>
            </w:r>
          </w:p>
          <w:p w14:paraId="0394A0A1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Poser, H. (1998). On Structural Differences Between Science and Engineering. </w:t>
            </w: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Phil &amp;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Tech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, 4 (2), 81-93</w:t>
            </w:r>
          </w:p>
          <w:p w14:paraId="77E2E6B3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Russell, B. (1983).  El conocimiento humano.  Madrid: Orbis.</w:t>
            </w:r>
          </w:p>
          <w:p w14:paraId="56B9534B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Russell, B. (1977). Los principios de la matemática.  Madrid: Espasa- Calpe. </w:t>
            </w:r>
          </w:p>
          <w:p w14:paraId="1EBD3E3D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Sennet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, R. (2009) El artesano. Barcelona: Anagrama</w:t>
            </w:r>
          </w:p>
          <w:p w14:paraId="5D096367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Sommers, F. and Sommers C. (2007). Vice and Virtue in Everyday Life, 7th ed., Belmont, CA: Thomson-Wadsworth.</w:t>
            </w:r>
          </w:p>
          <w:p w14:paraId="4C375DEE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Straud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, B. (1991).  El escepticismo filosófico.  México: F.C.E..</w:t>
            </w:r>
          </w:p>
          <w:p w14:paraId="031B4270" w14:textId="77777777" w:rsidR="00195B69" w:rsidRPr="00195B69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Wittgenstein, L. (2003). Tractatus logico-philosophicus.  </w:t>
            </w: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 xml:space="preserve">Madrid:  </w:t>
            </w:r>
            <w:proofErr w:type="spellStart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Técnos</w:t>
            </w:r>
            <w:proofErr w:type="spellEnd"/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5A5C4ACF" w14:textId="47D08766" w:rsidR="00FC6175" w:rsidRPr="001223F4" w:rsidRDefault="00195B69" w:rsidP="00195B6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195B69">
              <w:rPr>
                <w:rFonts w:ascii="Times New Roman" w:hAnsi="Times New Roman"/>
                <w:bCs/>
                <w:sz w:val="24"/>
                <w:szCs w:val="24"/>
              </w:rPr>
              <w:t>Wrigth, G.H. (1979).  Explicación y comprensión. Madrid: Alianza.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7D70B" w14:textId="77777777" w:rsidR="00B2020D" w:rsidRDefault="00B2020D" w:rsidP="00FC6175">
      <w:pPr>
        <w:spacing w:after="0" w:line="240" w:lineRule="auto"/>
      </w:pPr>
      <w:r>
        <w:separator/>
      </w:r>
    </w:p>
  </w:endnote>
  <w:endnote w:type="continuationSeparator" w:id="0">
    <w:p w14:paraId="2DFFB847" w14:textId="77777777" w:rsidR="00B2020D" w:rsidRDefault="00B2020D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4DB9C" w14:textId="77777777" w:rsidR="00B2020D" w:rsidRDefault="00B2020D" w:rsidP="00FC6175">
      <w:pPr>
        <w:spacing w:after="0" w:line="240" w:lineRule="auto"/>
      </w:pPr>
      <w:r>
        <w:separator/>
      </w:r>
    </w:p>
  </w:footnote>
  <w:footnote w:type="continuationSeparator" w:id="0">
    <w:p w14:paraId="15D5A922" w14:textId="77777777" w:rsidR="00B2020D" w:rsidRDefault="00B2020D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4AF5"/>
    <w:multiLevelType w:val="hybridMultilevel"/>
    <w:tmpl w:val="9976ED6C"/>
    <w:lvl w:ilvl="0" w:tplc="51F801C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5"/>
  </w:num>
  <w:num w:numId="4" w16cid:durableId="1611400283">
    <w:abstractNumId w:val="6"/>
  </w:num>
  <w:num w:numId="5" w16cid:durableId="1763842349">
    <w:abstractNumId w:val="3"/>
  </w:num>
  <w:num w:numId="6" w16cid:durableId="256909129">
    <w:abstractNumId w:val="2"/>
  </w:num>
  <w:num w:numId="7" w16cid:durableId="622150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195B69"/>
    <w:rsid w:val="001F0DE9"/>
    <w:rsid w:val="00211627"/>
    <w:rsid w:val="002178E4"/>
    <w:rsid w:val="002B1E60"/>
    <w:rsid w:val="003A0BDC"/>
    <w:rsid w:val="00403226"/>
    <w:rsid w:val="00422DA2"/>
    <w:rsid w:val="0044795F"/>
    <w:rsid w:val="004F0D7F"/>
    <w:rsid w:val="0055565A"/>
    <w:rsid w:val="0059173D"/>
    <w:rsid w:val="005E7DFD"/>
    <w:rsid w:val="005F452E"/>
    <w:rsid w:val="00601CD8"/>
    <w:rsid w:val="00686B6F"/>
    <w:rsid w:val="006C2C95"/>
    <w:rsid w:val="00747D94"/>
    <w:rsid w:val="00772FF5"/>
    <w:rsid w:val="00892F02"/>
    <w:rsid w:val="0092588D"/>
    <w:rsid w:val="00A270D3"/>
    <w:rsid w:val="00A43717"/>
    <w:rsid w:val="00B2020D"/>
    <w:rsid w:val="00B27C67"/>
    <w:rsid w:val="00B775EB"/>
    <w:rsid w:val="00B838C8"/>
    <w:rsid w:val="00C604F7"/>
    <w:rsid w:val="00CA2811"/>
    <w:rsid w:val="00D90739"/>
    <w:rsid w:val="00E82621"/>
    <w:rsid w:val="00F41223"/>
    <w:rsid w:val="00F67639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59</cp:revision>
  <dcterms:created xsi:type="dcterms:W3CDTF">2024-08-18T00:43:00Z</dcterms:created>
  <dcterms:modified xsi:type="dcterms:W3CDTF">2024-08-21T06:41:00Z</dcterms:modified>
</cp:coreProperties>
</file>