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C736C8" w14:textId="31CB0430" w:rsidR="00E26434" w:rsidRPr="00E26434" w:rsidRDefault="00E26434" w:rsidP="007A09CF">
      <w:pPr>
        <w:spacing w:line="360" w:lineRule="auto"/>
        <w:jc w:val="center"/>
        <w:rPr>
          <w:rFonts w:ascii="Times New Roman" w:hAnsi="Times New Roman" w:cs="Times New Roman"/>
          <w:b/>
          <w:bCs/>
          <w:sz w:val="28"/>
          <w:szCs w:val="28"/>
        </w:rPr>
      </w:pPr>
      <w:r w:rsidRPr="00E26434">
        <w:rPr>
          <w:rFonts w:ascii="Times New Roman" w:hAnsi="Times New Roman" w:cs="Times New Roman"/>
          <w:b/>
          <w:bCs/>
          <w:sz w:val="28"/>
          <w:szCs w:val="28"/>
        </w:rPr>
        <w:t>Hidden Stratification in Medical Imaging: Bias and Subgroup Effects</w:t>
      </w:r>
    </w:p>
    <w:p w14:paraId="2E23B715" w14:textId="356FCD30" w:rsidR="00981D46" w:rsidRPr="00C348C2" w:rsidRDefault="00C348C2" w:rsidP="007A09CF">
      <w:pPr>
        <w:pStyle w:val="ListParagraph"/>
        <w:numPr>
          <w:ilvl w:val="0"/>
          <w:numId w:val="1"/>
        </w:numPr>
        <w:spacing w:after="0" w:line="276" w:lineRule="auto"/>
        <w:jc w:val="both"/>
        <w:rPr>
          <w:rFonts w:ascii="Times New Roman" w:hAnsi="Times New Roman" w:cs="Times New Roman"/>
          <w:b/>
          <w:bCs/>
          <w:sz w:val="24"/>
          <w:szCs w:val="24"/>
        </w:rPr>
      </w:pPr>
      <w:r w:rsidRPr="00C348C2">
        <w:rPr>
          <w:rFonts w:ascii="Times New Roman" w:hAnsi="Times New Roman" w:cs="Times New Roman"/>
          <w:b/>
          <w:bCs/>
          <w:sz w:val="24"/>
          <w:szCs w:val="24"/>
        </w:rPr>
        <w:t>Introduction</w:t>
      </w:r>
    </w:p>
    <w:p w14:paraId="1D1F88C6" w14:textId="62A59DED" w:rsidR="00C348C2" w:rsidRPr="00C348C2" w:rsidRDefault="00C348C2" w:rsidP="00C348C2">
      <w:pPr>
        <w:jc w:val="both"/>
        <w:rPr>
          <w:rFonts w:ascii="Times New Roman" w:hAnsi="Times New Roman" w:cs="Times New Roman"/>
          <w:b/>
          <w:bCs/>
          <w:sz w:val="24"/>
          <w:szCs w:val="24"/>
        </w:rPr>
      </w:pPr>
      <w:r w:rsidRPr="00C348C2">
        <w:rPr>
          <w:rFonts w:ascii="Times New Roman" w:eastAsia="Times New Roman" w:hAnsi="Times New Roman" w:cs="Times New Roman"/>
          <w:lang w:val="en-GB" w:eastAsia="en-GB" w:bidi="bn-BD"/>
        </w:rPr>
        <w:t xml:space="preserve">The paper “Hidden Stratification Causes Clinically Meaningful Failures in Machine Learning for Medical Imaging” identifies major clinical failings in deep learning models for medical image classification due to their exhibiting an overall accuracy that is </w:t>
      </w:r>
      <w:r w:rsidR="007A09CF" w:rsidRPr="00C348C2">
        <w:rPr>
          <w:rFonts w:ascii="Times New Roman" w:eastAsia="Times New Roman" w:hAnsi="Times New Roman" w:cs="Times New Roman"/>
          <w:lang w:val="en-GB" w:eastAsia="en-GB" w:bidi="bn-BD"/>
        </w:rPr>
        <w:t>misleadingly</w:t>
      </w:r>
      <w:r w:rsidRPr="00C348C2">
        <w:rPr>
          <w:rFonts w:ascii="Times New Roman" w:eastAsia="Times New Roman" w:hAnsi="Times New Roman" w:cs="Times New Roman"/>
          <w:lang w:val="en-GB" w:eastAsia="en-GB" w:bidi="bn-BD"/>
        </w:rPr>
        <w:t xml:space="preserve"> high and masking the poor performance on clinically relevant subgroups by the authors. The hidden stratification concept introduced by the authors is said to occur when unappreciated subsets of data within a class have been innately un-setup to perform quite differently from others in terms of properties that could adversely affect model generalization. This has been demonstrated on three datasets: (1) a pelvic X-ray dataset from the Royal Adelaide Hospital for hip fracture detection (2,000+ images); (2) the MURA dataset for classification of abnormalities on musculoskeletal X-rays (40,000+); and (3) the CXR14 dataset for the identification of thoracic pathologies focusing on pneumothorax (112,000+ chest X-rays). The models used are </w:t>
      </w:r>
      <w:proofErr w:type="spellStart"/>
      <w:r w:rsidRPr="00C348C2">
        <w:rPr>
          <w:rFonts w:ascii="Times New Roman" w:eastAsia="Times New Roman" w:hAnsi="Times New Roman" w:cs="Times New Roman"/>
          <w:lang w:val="en-GB" w:eastAsia="en-GB" w:bidi="bn-BD"/>
        </w:rPr>
        <w:t>DenseNet</w:t>
      </w:r>
      <w:proofErr w:type="spellEnd"/>
      <w:r w:rsidRPr="00C348C2">
        <w:rPr>
          <w:rFonts w:ascii="Times New Roman" w:eastAsia="Times New Roman" w:hAnsi="Times New Roman" w:cs="Times New Roman"/>
          <w:lang w:val="en-GB" w:eastAsia="en-GB" w:bidi="bn-BD"/>
        </w:rPr>
        <w:t xml:space="preserve"> architectures (e.g., DenseNet-121 and DenseNet-169) trained for binary or multi-label classification. The application is clinical diagnostics, where such failures could prioritize common, benign cases over rare, life-threatening cases, stressing the need for subgroup-aware evaluations in healthcare AI to ensure safety and equality.</w:t>
      </w:r>
    </w:p>
    <w:p w14:paraId="17905D9A" w14:textId="3E75A046" w:rsidR="00C348C2" w:rsidRPr="00C348C2" w:rsidRDefault="00C348C2" w:rsidP="007A09CF">
      <w:pPr>
        <w:pStyle w:val="ListParagraph"/>
        <w:numPr>
          <w:ilvl w:val="0"/>
          <w:numId w:val="1"/>
        </w:numPr>
        <w:spacing w:after="0" w:line="276" w:lineRule="auto"/>
        <w:jc w:val="both"/>
        <w:rPr>
          <w:rFonts w:ascii="Times New Roman" w:hAnsi="Times New Roman" w:cs="Times New Roman"/>
          <w:b/>
          <w:bCs/>
          <w:sz w:val="24"/>
          <w:szCs w:val="24"/>
        </w:rPr>
      </w:pPr>
      <w:r w:rsidRPr="00C348C2">
        <w:rPr>
          <w:rFonts w:ascii="Times New Roman" w:hAnsi="Times New Roman" w:cs="Times New Roman"/>
          <w:b/>
          <w:bCs/>
          <w:sz w:val="24"/>
          <w:szCs w:val="24"/>
        </w:rPr>
        <w:t>Source of Bias</w:t>
      </w:r>
    </w:p>
    <w:p w14:paraId="546A33A1" w14:textId="77777777" w:rsidR="00C348C2" w:rsidRPr="00C348C2" w:rsidRDefault="00C348C2" w:rsidP="00C348C2">
      <w:pPr>
        <w:pStyle w:val="NormalWeb"/>
        <w:spacing w:before="0" w:beforeAutospacing="0" w:after="120" w:afterAutospacing="0"/>
        <w:jc w:val="both"/>
        <w:rPr>
          <w:sz w:val="22"/>
          <w:szCs w:val="22"/>
        </w:rPr>
      </w:pPr>
      <w:r w:rsidRPr="00C348C2">
        <w:rPr>
          <w:sz w:val="22"/>
          <w:szCs w:val="22"/>
        </w:rPr>
        <w:t xml:space="preserve">Hidden stratifications arise mainly from incomplete schema design during the </w:t>
      </w:r>
      <w:proofErr w:type="spellStart"/>
      <w:r w:rsidRPr="00C348C2">
        <w:rPr>
          <w:sz w:val="22"/>
          <w:szCs w:val="22"/>
        </w:rPr>
        <w:t>labeling</w:t>
      </w:r>
      <w:proofErr w:type="spellEnd"/>
      <w:r w:rsidRPr="00C348C2">
        <w:rPr>
          <w:sz w:val="22"/>
          <w:szCs w:val="22"/>
        </w:rPr>
        <w:t xml:space="preserve"> of data. Broad categories thus become a collection of diverse subsets that escape explicit annotation. This occurs in the paper during data collection and </w:t>
      </w:r>
      <w:proofErr w:type="spellStart"/>
      <w:r w:rsidRPr="00C348C2">
        <w:rPr>
          <w:sz w:val="22"/>
          <w:szCs w:val="22"/>
        </w:rPr>
        <w:t>preprocessing</w:t>
      </w:r>
      <w:proofErr w:type="spellEnd"/>
      <w:r w:rsidRPr="00C348C2">
        <w:rPr>
          <w:sz w:val="22"/>
          <w:szCs w:val="22"/>
        </w:rPr>
        <w:t xml:space="preserve"> stages. Continuing with the CXR14 dataset, the pneumothorax labels lump together treated (with chest drains) and untreated cases, resulting in spurious correlations—chest drains are non-causal artifacts from treatment, but models learn these as discriminant features. This represents aggregation bias, whereby heterogeneous groups are lumped together, masking differences among subgroups. </w:t>
      </w:r>
    </w:p>
    <w:p w14:paraId="094B7D6F" w14:textId="77777777" w:rsidR="00C348C2" w:rsidRPr="00C348C2" w:rsidRDefault="00C348C2" w:rsidP="00C348C2">
      <w:pPr>
        <w:pStyle w:val="NormalWeb"/>
        <w:spacing w:before="0" w:beforeAutospacing="0" w:after="120" w:afterAutospacing="0"/>
        <w:jc w:val="both"/>
        <w:rPr>
          <w:sz w:val="22"/>
          <w:szCs w:val="22"/>
        </w:rPr>
      </w:pPr>
      <w:r w:rsidRPr="00C348C2">
        <w:rPr>
          <w:sz w:val="22"/>
          <w:szCs w:val="22"/>
        </w:rPr>
        <w:t xml:space="preserve">Sampling biases arise in the hip fracture dataset due to under-sampling: low-prevalence subsets such as cervical fractures (13% of total cases) or subtle fractures (6%) can hardly be represented, leading to representation bias. These biases are also accepted in the paper as samples are collected from hospital records: sampling is skewed naturally towards more commonly seen variants (like </w:t>
      </w:r>
      <w:proofErr w:type="spellStart"/>
      <w:r w:rsidRPr="00C348C2">
        <w:rPr>
          <w:sz w:val="22"/>
          <w:szCs w:val="22"/>
        </w:rPr>
        <w:t>pertrochanteric</w:t>
      </w:r>
      <w:proofErr w:type="spellEnd"/>
      <w:r w:rsidRPr="00C348C2">
        <w:rPr>
          <w:sz w:val="22"/>
          <w:szCs w:val="22"/>
        </w:rPr>
        <w:t xml:space="preserve"> fractures, statistically at 50%) since all other serious diseases are rare. This is worsened by </w:t>
      </w:r>
      <w:proofErr w:type="spellStart"/>
      <w:r w:rsidRPr="00C348C2">
        <w:rPr>
          <w:sz w:val="22"/>
          <w:szCs w:val="22"/>
        </w:rPr>
        <w:t>preprocessing</w:t>
      </w:r>
      <w:proofErr w:type="spellEnd"/>
      <w:r w:rsidRPr="00C348C2">
        <w:rPr>
          <w:sz w:val="22"/>
          <w:szCs w:val="22"/>
        </w:rPr>
        <w:t xml:space="preserve"> if stratification of images is not performed so that models learn to fit to the dominating pattern. </w:t>
      </w:r>
    </w:p>
    <w:p w14:paraId="3017CBEA" w14:textId="77777777" w:rsidR="00C348C2" w:rsidRPr="00C348C2" w:rsidRDefault="00C348C2" w:rsidP="00C348C2">
      <w:pPr>
        <w:pStyle w:val="NormalWeb"/>
        <w:spacing w:before="0" w:beforeAutospacing="0" w:after="120" w:afterAutospacing="0"/>
        <w:jc w:val="both"/>
        <w:rPr>
          <w:sz w:val="22"/>
          <w:szCs w:val="22"/>
        </w:rPr>
      </w:pPr>
      <w:r w:rsidRPr="00C348C2">
        <w:rPr>
          <w:sz w:val="22"/>
          <w:szCs w:val="22"/>
        </w:rPr>
        <w:t xml:space="preserve">The MURA dataset highlights the labelling bias of measurement "abnormal" fractures (92% reporting sensitivity), hardware (85%), and degenerative joint disease (DJD, little downward sensitivity at 60%). Clinical reports often label only the grossest of fractures and in doing so ignore subtle or irrelevant findings and thereby downplay the diagnosis for DJD, whose consequences are vague and non-urgent. This agrees with concepts in the course such as label bias, where noisy or incomplete annotations unduly affect subpopulations with subtle features. </w:t>
      </w:r>
    </w:p>
    <w:p w14:paraId="41927C10" w14:textId="491CE52F" w:rsidR="00C348C2" w:rsidRPr="00C348C2" w:rsidRDefault="00C348C2" w:rsidP="00C348C2">
      <w:pPr>
        <w:spacing w:after="120"/>
        <w:jc w:val="both"/>
        <w:rPr>
          <w:rFonts w:ascii="Times New Roman" w:hAnsi="Times New Roman" w:cs="Times New Roman"/>
          <w:b/>
          <w:bCs/>
          <w:sz w:val="24"/>
          <w:szCs w:val="24"/>
        </w:rPr>
      </w:pPr>
      <w:r w:rsidRPr="00C348C2">
        <w:rPr>
          <w:rFonts w:ascii="Times New Roman" w:hAnsi="Times New Roman" w:cs="Times New Roman"/>
        </w:rPr>
        <w:t>In summary, these biases stem from the realities of the real world, where clinical priorities favor acute cases, giving rise to hidden subgroups formed through incomplete representation and measurement errors</w:t>
      </w:r>
      <w:r w:rsidRPr="00C348C2">
        <w:rPr>
          <w:rFonts w:ascii="Times New Roman" w:hAnsi="Times New Roman" w:cs="Times New Roman"/>
        </w:rPr>
        <w:t>.</w:t>
      </w:r>
    </w:p>
    <w:p w14:paraId="2D18C47A" w14:textId="68B67B5A" w:rsidR="00C348C2" w:rsidRPr="00C348C2" w:rsidRDefault="00C348C2" w:rsidP="007A09CF">
      <w:pPr>
        <w:pStyle w:val="ListParagraph"/>
        <w:numPr>
          <w:ilvl w:val="0"/>
          <w:numId w:val="1"/>
        </w:numPr>
        <w:spacing w:after="0" w:line="276" w:lineRule="auto"/>
        <w:jc w:val="both"/>
        <w:rPr>
          <w:rFonts w:ascii="Times New Roman" w:hAnsi="Times New Roman" w:cs="Times New Roman"/>
          <w:b/>
          <w:bCs/>
          <w:sz w:val="24"/>
          <w:szCs w:val="24"/>
        </w:rPr>
      </w:pPr>
      <w:r w:rsidRPr="00C348C2">
        <w:rPr>
          <w:rFonts w:ascii="Times New Roman" w:hAnsi="Times New Roman" w:cs="Times New Roman"/>
          <w:b/>
          <w:bCs/>
          <w:sz w:val="24"/>
          <w:szCs w:val="24"/>
        </w:rPr>
        <w:t>Impact on Metrics</w:t>
      </w:r>
    </w:p>
    <w:p w14:paraId="6BAAA3E2" w14:textId="77777777" w:rsidR="00C348C2" w:rsidRPr="00C348C2" w:rsidRDefault="00C348C2" w:rsidP="00C348C2">
      <w:pPr>
        <w:pStyle w:val="NormalWeb"/>
        <w:spacing w:before="0" w:beforeAutospacing="0" w:after="120" w:afterAutospacing="0"/>
        <w:jc w:val="both"/>
        <w:rPr>
          <w:sz w:val="22"/>
          <w:szCs w:val="22"/>
        </w:rPr>
      </w:pPr>
      <w:r w:rsidRPr="00C348C2">
        <w:rPr>
          <w:sz w:val="22"/>
          <w:szCs w:val="22"/>
        </w:rPr>
        <w:t xml:space="preserve">Hidden stratification leads to distortion of evaluation metrics, permitting dominant subgroups to inflate general statistics, thereby hiding a poor performance of minorities. The ROC curve area and two aggregate measures—sensitivity (recall) and positive predictive value (PPV)—have been used in the paper, although they are sensitive to class imbalances. Overall sensitivity in the hip fracture dataset is 0.981 (AUC 0.994), while diagnostic sensitivity drops to 0.911 with respect to cervical fractures and 0.900 for the subtle ones. The problem in segmenting these subgroups is that they have a low prevalence and rely on subtle discriminative features—cervical fractures do not exhibit any obvious displacement </w:t>
      </w:r>
      <w:r w:rsidRPr="00C348C2">
        <w:rPr>
          <w:sz w:val="22"/>
          <w:szCs w:val="22"/>
        </w:rPr>
        <w:lastRenderedPageBreak/>
        <w:t xml:space="preserve">and tend to get lost in the noise. A sizeable subgroup like the </w:t>
      </w:r>
      <w:proofErr w:type="spellStart"/>
      <w:r w:rsidRPr="00C348C2">
        <w:rPr>
          <w:sz w:val="22"/>
          <w:szCs w:val="22"/>
        </w:rPr>
        <w:t>pertrochanteric</w:t>
      </w:r>
      <w:proofErr w:type="spellEnd"/>
      <w:r w:rsidRPr="00C348C2">
        <w:rPr>
          <w:sz w:val="22"/>
          <w:szCs w:val="22"/>
        </w:rPr>
        <w:t xml:space="preserve"> is falsely assumed to be accurate, based on a sensitivity of 0.997—and that really throws the majority into thinking they have expert-level accuracy. The above just reiterates, once again, why accuracy may be a misleading definition in an imbalanced dataset: It cares for bulk rather than clinical severity.</w:t>
      </w:r>
    </w:p>
    <w:p w14:paraId="0C5E0400" w14:textId="77777777" w:rsidR="00C348C2" w:rsidRPr="00C348C2" w:rsidRDefault="00C348C2" w:rsidP="00C348C2">
      <w:pPr>
        <w:pStyle w:val="NormalWeb"/>
        <w:spacing w:before="0" w:beforeAutospacing="0" w:after="120" w:afterAutospacing="0"/>
        <w:jc w:val="both"/>
        <w:rPr>
          <w:sz w:val="22"/>
          <w:szCs w:val="22"/>
        </w:rPr>
      </w:pPr>
      <w:r w:rsidRPr="00C348C2">
        <w:rPr>
          <w:sz w:val="22"/>
          <w:szCs w:val="22"/>
        </w:rPr>
        <w:t xml:space="preserve">For the MURA study, abnormality detection yielded an overall AUC of 0.91, with hardware (easy-to-spot metallic implants) scoring 0.98 and DJD lagging behind at 0.76. DJD underperforms due to poor label quality (sensitivity 0.60) and subtle features like joint narrowing, which the models confuse with </w:t>
      </w:r>
      <w:proofErr w:type="spellStart"/>
      <w:r w:rsidRPr="00C348C2">
        <w:rPr>
          <w:sz w:val="22"/>
          <w:szCs w:val="22"/>
        </w:rPr>
        <w:t>normals</w:t>
      </w:r>
      <w:proofErr w:type="spellEnd"/>
      <w:r w:rsidRPr="00C348C2">
        <w:rPr>
          <w:sz w:val="22"/>
          <w:szCs w:val="22"/>
        </w:rPr>
        <w:t>. Fractures perform slightly better (AUC 0.86) because these fractures have clear breaks and high label accuracy (0.92) in the DJD subgroup. The subgroups have high prevalence (DJD at 43%) but low discriminability and drag metrics, but overall AUC hides this by averaging across easier cases. This shows how ROC AUC, though threshold-independent, can mask an uneven playing field when subgroups vary dramatically in feature subtlety and label noise—models shine on the "simply" easy hardware (11% prevalence) but flop on a clinically profound DJD.</w:t>
      </w:r>
    </w:p>
    <w:p w14:paraId="3BA70E60" w14:textId="0F2301E9" w:rsidR="00C348C2" w:rsidRPr="00C348C2" w:rsidRDefault="00C348C2" w:rsidP="00C348C2">
      <w:pPr>
        <w:pStyle w:val="NormalWeb"/>
        <w:spacing w:before="0" w:beforeAutospacing="0" w:after="120" w:afterAutospacing="0"/>
        <w:jc w:val="both"/>
        <w:rPr>
          <w:sz w:val="22"/>
          <w:szCs w:val="22"/>
        </w:rPr>
      </w:pPr>
      <w:r w:rsidRPr="00C348C2">
        <w:rPr>
          <w:sz w:val="22"/>
          <w:szCs w:val="22"/>
        </w:rPr>
        <w:t xml:space="preserve">The CXR14 example of pneumothorax is dramatic: overall AUC 0.87, but 0.94 with chest drains versus 0.77 otherwise. When drains (80% prevalence) exist, they act as spurious correlates, yielding performance gains via artifacts (visible tubes as proxies), with PPVs increased by 30% (0.90 vs. 0.60). In the untreated cases—subtler ones, without artifacts—the models' reliance on coincidental non-causal cues will spoil further. The asymmetry between the subgroups becomes very crucial: An untreated pneumothorax is very lethal, yet it is dominated by comforting metrics of treated (benign) cases. In theory, because great data brings in the hidden correlations as per Selbst (2017), it makes aggregate metrics unsuitable for safety-critical applications. In healthcare, this could have regulatory </w:t>
      </w:r>
      <w:r w:rsidR="00E12612" w:rsidRPr="00C348C2">
        <w:rPr>
          <w:sz w:val="22"/>
          <w:szCs w:val="22"/>
        </w:rPr>
        <w:t>effects</w:t>
      </w:r>
      <w:r w:rsidRPr="00C348C2">
        <w:rPr>
          <w:sz w:val="22"/>
          <w:szCs w:val="22"/>
        </w:rPr>
        <w:t>, where models appear at the level of the radiologist while doing real harm to vulnerable patients.</w:t>
      </w:r>
    </w:p>
    <w:p w14:paraId="1F9D278F" w14:textId="77DEDD18" w:rsidR="00C348C2" w:rsidRPr="00C348C2" w:rsidRDefault="00C348C2" w:rsidP="007A09CF">
      <w:pPr>
        <w:pStyle w:val="ListParagraph"/>
        <w:numPr>
          <w:ilvl w:val="0"/>
          <w:numId w:val="1"/>
        </w:numPr>
        <w:spacing w:after="0" w:line="276" w:lineRule="auto"/>
        <w:jc w:val="both"/>
        <w:rPr>
          <w:rFonts w:ascii="Times New Roman" w:hAnsi="Times New Roman" w:cs="Times New Roman"/>
          <w:b/>
          <w:bCs/>
          <w:sz w:val="24"/>
          <w:szCs w:val="24"/>
        </w:rPr>
      </w:pPr>
      <w:r w:rsidRPr="001C2C29">
        <w:rPr>
          <w:rFonts w:ascii="Times New Roman" w:eastAsia="Times New Roman" w:hAnsi="Times New Roman" w:cs="Times New Roman"/>
          <w:b/>
          <w:bCs/>
          <w:sz w:val="24"/>
          <w:szCs w:val="24"/>
          <w:lang w:val="en-GB" w:eastAsia="en-GB" w:bidi="bn-BD"/>
        </w:rPr>
        <w:t>Mitigation &amp; Creativity</w:t>
      </w:r>
    </w:p>
    <w:p w14:paraId="1CE61B33" w14:textId="77777777" w:rsidR="00C348C2" w:rsidRPr="00C348C2" w:rsidRDefault="00C348C2" w:rsidP="00C348C2">
      <w:pPr>
        <w:pStyle w:val="NormalWeb"/>
        <w:spacing w:before="0" w:beforeAutospacing="0" w:after="120" w:afterAutospacing="0"/>
        <w:jc w:val="both"/>
        <w:rPr>
          <w:sz w:val="22"/>
          <w:szCs w:val="22"/>
        </w:rPr>
      </w:pPr>
      <w:r w:rsidRPr="00C348C2">
        <w:rPr>
          <w:sz w:val="22"/>
          <w:szCs w:val="22"/>
        </w:rPr>
        <w:t xml:space="preserve">The three mitigation strategies recommended by Oakden-Rayner et al. include schema completion, error auditing, and algorithmic measurement. </w:t>
      </w:r>
    </w:p>
    <w:p w14:paraId="42AE3FA8" w14:textId="34E7856E" w:rsidR="00C348C2" w:rsidRPr="00C348C2" w:rsidRDefault="00C348C2" w:rsidP="00C348C2">
      <w:pPr>
        <w:pStyle w:val="NormalWeb"/>
        <w:numPr>
          <w:ilvl w:val="0"/>
          <w:numId w:val="2"/>
        </w:numPr>
        <w:spacing w:before="0" w:beforeAutospacing="0" w:after="120" w:afterAutospacing="0"/>
        <w:jc w:val="both"/>
        <w:rPr>
          <w:sz w:val="22"/>
          <w:szCs w:val="22"/>
        </w:rPr>
      </w:pPr>
      <w:r w:rsidRPr="00C348C2">
        <w:rPr>
          <w:sz w:val="22"/>
          <w:szCs w:val="22"/>
        </w:rPr>
        <w:t xml:space="preserve">Schema completion assigns explicit subgroup labels to a testing corpus (e.g., fracture types or presence/absence of drains) such that ASER could report on </w:t>
      </w:r>
      <w:r w:rsidR="007A09CF" w:rsidRPr="00C348C2">
        <w:rPr>
          <w:sz w:val="22"/>
          <w:szCs w:val="22"/>
        </w:rPr>
        <w:t>sub performance</w:t>
      </w:r>
      <w:r w:rsidRPr="00C348C2">
        <w:rPr>
          <w:sz w:val="22"/>
          <w:szCs w:val="22"/>
        </w:rPr>
        <w:t xml:space="preserve"> across subgroups, though it is limited by available human resources as well as incomplete medical taxonomies.</w:t>
      </w:r>
    </w:p>
    <w:p w14:paraId="31CCD87D" w14:textId="77777777" w:rsidR="00C348C2" w:rsidRPr="00C348C2" w:rsidRDefault="00C348C2" w:rsidP="00C348C2">
      <w:pPr>
        <w:pStyle w:val="NormalWeb"/>
        <w:numPr>
          <w:ilvl w:val="0"/>
          <w:numId w:val="2"/>
        </w:numPr>
        <w:spacing w:before="0" w:beforeAutospacing="0" w:after="120" w:afterAutospacing="0"/>
        <w:jc w:val="both"/>
        <w:rPr>
          <w:sz w:val="22"/>
          <w:szCs w:val="22"/>
        </w:rPr>
      </w:pPr>
      <w:r w:rsidRPr="00C348C2">
        <w:rPr>
          <w:sz w:val="22"/>
          <w:szCs w:val="22"/>
        </w:rPr>
        <w:t>An error audit systematically reviews misclassified samples to look for patterns or recurrent failure modes; such an approach would help discover hidden strata post hoc.</w:t>
      </w:r>
    </w:p>
    <w:p w14:paraId="1A99FFB1" w14:textId="77777777" w:rsidR="00C348C2" w:rsidRPr="00C348C2" w:rsidRDefault="00C348C2" w:rsidP="00C348C2">
      <w:pPr>
        <w:pStyle w:val="NormalWeb"/>
        <w:numPr>
          <w:ilvl w:val="0"/>
          <w:numId w:val="2"/>
        </w:numPr>
        <w:spacing w:before="0" w:beforeAutospacing="0" w:after="120" w:afterAutospacing="0"/>
        <w:jc w:val="both"/>
        <w:rPr>
          <w:sz w:val="22"/>
          <w:szCs w:val="22"/>
        </w:rPr>
      </w:pPr>
      <w:r w:rsidRPr="00C348C2">
        <w:rPr>
          <w:sz w:val="22"/>
          <w:szCs w:val="22"/>
        </w:rPr>
        <w:t>Algorithmic measurements use unsupervised clustering on learned feature embeddings to potentially identify subgroups with different error rates. Reducing human workload—again, the clinical usefulness requires some validation.</w:t>
      </w:r>
    </w:p>
    <w:p w14:paraId="20F2D955" w14:textId="77777777" w:rsidR="00C348C2" w:rsidRPr="00C348C2" w:rsidRDefault="00C348C2" w:rsidP="00C348C2">
      <w:pPr>
        <w:pStyle w:val="NormalWeb"/>
        <w:spacing w:before="0" w:beforeAutospacing="0" w:after="120" w:afterAutospacing="0"/>
        <w:jc w:val="both"/>
        <w:rPr>
          <w:sz w:val="22"/>
          <w:szCs w:val="22"/>
        </w:rPr>
      </w:pPr>
      <w:r w:rsidRPr="00C348C2">
        <w:rPr>
          <w:sz w:val="22"/>
          <w:szCs w:val="22"/>
        </w:rPr>
        <w:t xml:space="preserve">The new enhancement would then be a hybrid bias detection pipeline that uses explainable AI along with active learning. More specifically, saliency maps or Grad-CAM would identify regions relied upon by the model when spurious features like chest drains dominate activations, and the system flags the image for human review. That feedback loop could provide guidance in targeted </w:t>
      </w:r>
      <w:proofErr w:type="spellStart"/>
      <w:r w:rsidRPr="00C348C2">
        <w:rPr>
          <w:sz w:val="22"/>
          <w:szCs w:val="22"/>
        </w:rPr>
        <w:t>relabeling</w:t>
      </w:r>
      <w:proofErr w:type="spellEnd"/>
      <w:r w:rsidRPr="00C348C2">
        <w:rPr>
          <w:sz w:val="22"/>
          <w:szCs w:val="22"/>
        </w:rPr>
        <w:t xml:space="preserve"> or model retraining.</w:t>
      </w:r>
    </w:p>
    <w:p w14:paraId="1F8855EB" w14:textId="77777777" w:rsidR="00C348C2" w:rsidRPr="00C348C2" w:rsidRDefault="00C348C2" w:rsidP="00C348C2">
      <w:pPr>
        <w:pStyle w:val="NormalWeb"/>
        <w:spacing w:before="0" w:beforeAutospacing="0" w:after="120" w:afterAutospacing="0"/>
        <w:jc w:val="both"/>
        <w:rPr>
          <w:sz w:val="22"/>
          <w:szCs w:val="22"/>
        </w:rPr>
      </w:pPr>
      <w:r w:rsidRPr="00C348C2">
        <w:rPr>
          <w:sz w:val="22"/>
          <w:szCs w:val="22"/>
        </w:rPr>
        <w:t>Along with this, subgroup-aware measures would also need to be incorporated in evaluation metrics—that is, performance metrics such as worst-case AUC or equal opportunity difference—ensuring that the measurement upholds fairness also in hidden strata. This means that no subgroup, instead of the average subgroup, would additionally be required to meet an acceptable standard in performance; this would make deployment safer.</w:t>
      </w:r>
    </w:p>
    <w:p w14:paraId="3BD4D39C" w14:textId="666FF3A6" w:rsidR="00C348C2" w:rsidRPr="00C348C2" w:rsidRDefault="00C348C2" w:rsidP="00C348C2">
      <w:pPr>
        <w:spacing w:after="120"/>
        <w:jc w:val="both"/>
        <w:rPr>
          <w:rFonts w:ascii="Times New Roman" w:hAnsi="Times New Roman" w:cs="Times New Roman"/>
          <w:b/>
          <w:bCs/>
          <w:sz w:val="24"/>
          <w:szCs w:val="24"/>
        </w:rPr>
      </w:pPr>
      <w:r w:rsidRPr="00C348C2">
        <w:rPr>
          <w:rFonts w:ascii="Times New Roman" w:hAnsi="Times New Roman" w:cs="Times New Roman"/>
        </w:rPr>
        <w:t xml:space="preserve">At last, synthetic data augmentation through generative models would balance low-prevalence subgroups, rendering the model even less sensitive to dominant patterns. </w:t>
      </w:r>
      <w:proofErr w:type="gramStart"/>
      <w:r w:rsidRPr="00C348C2">
        <w:rPr>
          <w:rFonts w:ascii="Times New Roman" w:hAnsi="Times New Roman" w:cs="Times New Roman"/>
        </w:rPr>
        <w:t>Well</w:t>
      </w:r>
      <w:proofErr w:type="gramEnd"/>
      <w:r w:rsidRPr="00C348C2">
        <w:rPr>
          <w:rFonts w:ascii="Times New Roman" w:hAnsi="Times New Roman" w:cs="Times New Roman"/>
        </w:rPr>
        <w:t xml:space="preserve"> articulating these strategies into a proactive approach will enable the detection, quantification, and sabotage of hidden stratification bias in medical imaging systems</w:t>
      </w:r>
      <w:r>
        <w:rPr>
          <w:rFonts w:ascii="Times New Roman" w:hAnsi="Times New Roman" w:cs="Times New Roman"/>
        </w:rPr>
        <w:t>.</w:t>
      </w:r>
    </w:p>
    <w:sectPr w:rsidR="00C348C2" w:rsidRPr="00C348C2" w:rsidSect="00C348C2">
      <w:head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F6C628" w14:textId="77777777" w:rsidR="00C341F6" w:rsidRDefault="00C341F6" w:rsidP="00235954">
      <w:pPr>
        <w:spacing w:after="0" w:line="240" w:lineRule="auto"/>
      </w:pPr>
      <w:r>
        <w:separator/>
      </w:r>
    </w:p>
  </w:endnote>
  <w:endnote w:type="continuationSeparator" w:id="0">
    <w:p w14:paraId="4F2CFC20" w14:textId="77777777" w:rsidR="00C341F6" w:rsidRDefault="00C341F6" w:rsidP="002359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D2CD37" w14:textId="77777777" w:rsidR="00C341F6" w:rsidRDefault="00C341F6" w:rsidP="00235954">
      <w:pPr>
        <w:spacing w:after="0" w:line="240" w:lineRule="auto"/>
      </w:pPr>
      <w:r>
        <w:separator/>
      </w:r>
    </w:p>
  </w:footnote>
  <w:footnote w:type="continuationSeparator" w:id="0">
    <w:p w14:paraId="6B5AAB9A" w14:textId="77777777" w:rsidR="00C341F6" w:rsidRDefault="00C341F6" w:rsidP="002359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D2BBD" w14:textId="5B706781" w:rsidR="00235954" w:rsidRPr="00235954" w:rsidRDefault="00235954" w:rsidP="00235954">
    <w:pPr>
      <w:pStyle w:val="Header"/>
      <w:jc w:val="right"/>
      <w:rPr>
        <w:color w:val="BFBFBF" w:themeColor="background1" w:themeShade="BF"/>
        <w:sz w:val="18"/>
        <w:szCs w:val="18"/>
      </w:rPr>
    </w:pPr>
    <w:r w:rsidRPr="00235954">
      <w:rPr>
        <w:color w:val="BFBFBF" w:themeColor="background1" w:themeShade="BF"/>
        <w:sz w:val="18"/>
        <w:szCs w:val="18"/>
      </w:rPr>
      <w:t>A00047246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73B72"/>
    <w:multiLevelType w:val="hybridMultilevel"/>
    <w:tmpl w:val="D728DB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B8840F2"/>
    <w:multiLevelType w:val="hybridMultilevel"/>
    <w:tmpl w:val="9AF29A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8C2"/>
    <w:rsid w:val="00235954"/>
    <w:rsid w:val="007A09CF"/>
    <w:rsid w:val="007D1CB9"/>
    <w:rsid w:val="00981D46"/>
    <w:rsid w:val="00C341F6"/>
    <w:rsid w:val="00C348C2"/>
    <w:rsid w:val="00D47736"/>
    <w:rsid w:val="00E12612"/>
    <w:rsid w:val="00E26434"/>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92885"/>
  <w15:chartTrackingRefBased/>
  <w15:docId w15:val="{5E819DF6-B062-4A1D-BFD6-F481216F3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48C2"/>
    <w:pPr>
      <w:ind w:left="720"/>
      <w:contextualSpacing/>
    </w:pPr>
  </w:style>
  <w:style w:type="paragraph" w:styleId="NormalWeb">
    <w:name w:val="Normal (Web)"/>
    <w:basedOn w:val="Normal"/>
    <w:uiPriority w:val="99"/>
    <w:unhideWhenUsed/>
    <w:rsid w:val="00C348C2"/>
    <w:pPr>
      <w:spacing w:before="100" w:beforeAutospacing="1" w:after="100" w:afterAutospacing="1" w:line="240" w:lineRule="auto"/>
    </w:pPr>
    <w:rPr>
      <w:rFonts w:ascii="Times New Roman" w:eastAsia="Times New Roman" w:hAnsi="Times New Roman" w:cs="Times New Roman"/>
      <w:sz w:val="24"/>
      <w:szCs w:val="24"/>
      <w:lang w:val="en-GB" w:eastAsia="en-GB" w:bidi="bn-BD"/>
    </w:rPr>
  </w:style>
  <w:style w:type="paragraph" w:styleId="Header">
    <w:name w:val="header"/>
    <w:basedOn w:val="Normal"/>
    <w:link w:val="HeaderChar"/>
    <w:uiPriority w:val="99"/>
    <w:unhideWhenUsed/>
    <w:rsid w:val="002359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5954"/>
  </w:style>
  <w:style w:type="paragraph" w:styleId="Footer">
    <w:name w:val="footer"/>
    <w:basedOn w:val="Normal"/>
    <w:link w:val="FooterChar"/>
    <w:uiPriority w:val="99"/>
    <w:unhideWhenUsed/>
    <w:rsid w:val="002359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59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9897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1250</Words>
  <Characters>7125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Alif Al Razi</dc:creator>
  <cp:keywords/>
  <dc:description/>
  <cp:lastModifiedBy>Alif Al Razi</cp:lastModifiedBy>
  <cp:revision>2</cp:revision>
  <dcterms:created xsi:type="dcterms:W3CDTF">2025-11-16T15:49:00Z</dcterms:created>
  <dcterms:modified xsi:type="dcterms:W3CDTF">2025-11-16T15:49:00Z</dcterms:modified>
</cp:coreProperties>
</file>