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EEA55" w14:textId="77777777" w:rsidR="005825EC" w:rsidRDefault="005825EC" w:rsidP="005825EC">
      <w:pPr>
        <w:pStyle w:val="Heading1"/>
      </w:pPr>
      <w:r>
        <w:t>About ALIGN</w:t>
      </w:r>
    </w:p>
    <w:p w14:paraId="4B707055" w14:textId="77777777" w:rsidR="005825EC" w:rsidRDefault="009A307D" w:rsidP="005825EC">
      <w:r>
        <w:rPr>
          <w:noProof/>
        </w:rPr>
        <w:pict w14:anchorId="4B6DC34A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33924239" w14:textId="77777777" w:rsidR="005825EC" w:rsidRDefault="005825EC" w:rsidP="005825EC">
      <w:pPr>
        <w:pStyle w:val="Heading2"/>
      </w:pPr>
      <w:r>
        <w:t xml:space="preserve">1. What is ALIGN? </w:t>
      </w:r>
      <w:r>
        <w:rPr>
          <w:rStyle w:val="Emphasis"/>
        </w:rPr>
        <w:t>(always visible)</w:t>
      </w:r>
    </w:p>
    <w:p w14:paraId="0D035A47" w14:textId="77777777" w:rsidR="005825EC" w:rsidRDefault="005825EC" w:rsidP="005825EC">
      <w:pPr>
        <w:pStyle w:val="NormalWeb"/>
      </w:pPr>
      <w:r>
        <w:t xml:space="preserve">The </w:t>
      </w:r>
      <w:r>
        <w:rPr>
          <w:rStyle w:val="Strong"/>
        </w:rPr>
        <w:t>Advancing Country-Led Innovation Introduction through Government Engagement and EvideNce (ALIGN) Consortium</w:t>
      </w:r>
      <w:r>
        <w:t xml:space="preserve"> aims to improve health outcomes by strengthening how health products are prioritized and introduced within countries.</w:t>
      </w:r>
    </w:p>
    <w:p w14:paraId="54AB19E7" w14:textId="77777777" w:rsidR="005825EC" w:rsidRDefault="005825EC" w:rsidP="005825EC">
      <w:pPr>
        <w:pStyle w:val="NormalWeb"/>
      </w:pPr>
      <w:r>
        <w:t>ALIGN brings together the Duke Global Health Innovation Center, the South African Medical Research Council (SAMRC), Keprecon, and ENDA Santé to support governments in Kenya, Senegal, and South Africa across:</w:t>
      </w:r>
    </w:p>
    <w:p w14:paraId="430D9107" w14:textId="77777777" w:rsidR="005825EC" w:rsidRDefault="005825EC" w:rsidP="005825EC">
      <w:pPr>
        <w:pStyle w:val="NormalWeb"/>
        <w:numPr>
          <w:ilvl w:val="0"/>
          <w:numId w:val="4"/>
        </w:numPr>
      </w:pPr>
      <w:r>
        <w:t>Whole-of-government coordination and capacity strengthening</w:t>
      </w:r>
    </w:p>
    <w:p w14:paraId="7A8198C6" w14:textId="77777777" w:rsidR="005825EC" w:rsidRDefault="005825EC" w:rsidP="005825EC">
      <w:pPr>
        <w:pStyle w:val="NormalWeb"/>
        <w:numPr>
          <w:ilvl w:val="0"/>
          <w:numId w:val="4"/>
        </w:numPr>
      </w:pPr>
      <w:r>
        <w:t>Data-driven decision-making</w:t>
      </w:r>
    </w:p>
    <w:p w14:paraId="58CEDEF6" w14:textId="77777777" w:rsidR="005825EC" w:rsidRDefault="005825EC" w:rsidP="005825EC">
      <w:pPr>
        <w:pStyle w:val="NormalWeb"/>
        <w:numPr>
          <w:ilvl w:val="0"/>
          <w:numId w:val="4"/>
        </w:numPr>
      </w:pPr>
      <w:r>
        <w:t>Whole-of-market engagement (national, regional, global)</w:t>
      </w:r>
    </w:p>
    <w:p w14:paraId="134C66F3" w14:textId="77777777" w:rsidR="005825EC" w:rsidRDefault="005825EC" w:rsidP="005825EC">
      <w:pPr>
        <w:pStyle w:val="NormalWeb"/>
        <w:numPr>
          <w:ilvl w:val="0"/>
          <w:numId w:val="4"/>
        </w:numPr>
      </w:pPr>
      <w:r>
        <w:t>Portfolio-based planning</w:t>
      </w:r>
    </w:p>
    <w:p w14:paraId="75163B1C" w14:textId="77777777" w:rsidR="005825EC" w:rsidRDefault="009A307D" w:rsidP="005825EC">
      <w:r>
        <w:rPr>
          <w:noProof/>
        </w:rPr>
        <w:pict w14:anchorId="0F6CF1DD">
          <v:rect id="_x0000_i1042" style="width:0;height:1.5pt" o:hralign="center" o:hrstd="t" o:hr="t" fillcolor="#a0a0a0" stroked="f"/>
        </w:pict>
      </w:r>
    </w:p>
    <w:p w14:paraId="70E6A245" w14:textId="77777777" w:rsidR="005825EC" w:rsidRDefault="005825EC" w:rsidP="005825EC">
      <w:pPr>
        <w:pStyle w:val="Heading2"/>
      </w:pPr>
      <w:r>
        <w:t xml:space="preserve">2. Why this Hub exists </w:t>
      </w:r>
      <w:r>
        <w:rPr>
          <w:rStyle w:val="Emphasis"/>
        </w:rPr>
        <w:t>(expandable)</w:t>
      </w:r>
    </w:p>
    <w:p w14:paraId="5AEC3012" w14:textId="77777777" w:rsidR="005825EC" w:rsidRDefault="005825EC" w:rsidP="005825EC">
      <w:pPr>
        <w:pStyle w:val="NormalWeb"/>
      </w:pPr>
      <w:r>
        <w:rPr>
          <w:rStyle w:val="Strong"/>
        </w:rPr>
        <w:t>[Expandable section: “Why does this matter?”]</w:t>
      </w:r>
    </w:p>
    <w:p w14:paraId="31FCF7E2" w14:textId="77777777" w:rsidR="005825EC" w:rsidRDefault="005825EC" w:rsidP="005825EC">
      <w:pPr>
        <w:pStyle w:val="NormalWeb"/>
      </w:pPr>
      <w:r>
        <w:t>Health product data are fragmented across multiple systems:</w:t>
      </w:r>
    </w:p>
    <w:p w14:paraId="50BE6EAB" w14:textId="77777777" w:rsidR="005825EC" w:rsidRDefault="005825EC" w:rsidP="005825EC">
      <w:pPr>
        <w:pStyle w:val="NormalWeb"/>
        <w:numPr>
          <w:ilvl w:val="0"/>
          <w:numId w:val="5"/>
        </w:numPr>
      </w:pPr>
      <w:r>
        <w:t>Clinical trial registries</w:t>
      </w:r>
    </w:p>
    <w:p w14:paraId="34A88098" w14:textId="77777777" w:rsidR="005825EC" w:rsidRDefault="005825EC" w:rsidP="005825EC">
      <w:pPr>
        <w:pStyle w:val="NormalWeb"/>
        <w:numPr>
          <w:ilvl w:val="0"/>
          <w:numId w:val="5"/>
        </w:numPr>
      </w:pPr>
      <w:r>
        <w:t>Regulatory agencies</w:t>
      </w:r>
    </w:p>
    <w:p w14:paraId="3F5A2554" w14:textId="77777777" w:rsidR="005825EC" w:rsidRDefault="005825EC" w:rsidP="005825EC">
      <w:pPr>
        <w:pStyle w:val="NormalWeb"/>
        <w:numPr>
          <w:ilvl w:val="0"/>
          <w:numId w:val="5"/>
        </w:numPr>
      </w:pPr>
      <w:r>
        <w:t>Procurement databases</w:t>
      </w:r>
    </w:p>
    <w:p w14:paraId="0056E6C1" w14:textId="77777777" w:rsidR="005825EC" w:rsidRDefault="005825EC" w:rsidP="005825EC">
      <w:pPr>
        <w:pStyle w:val="NormalWeb"/>
        <w:numPr>
          <w:ilvl w:val="0"/>
          <w:numId w:val="5"/>
        </w:numPr>
      </w:pPr>
      <w:r>
        <w:t>Policy and guideline lists</w:t>
      </w:r>
    </w:p>
    <w:p w14:paraId="20DF286C" w14:textId="77777777" w:rsidR="005825EC" w:rsidRDefault="005825EC" w:rsidP="005825EC">
      <w:pPr>
        <w:pStyle w:val="NormalWeb"/>
      </w:pPr>
      <w:r>
        <w:t>This fragmentation prevents decision-makers from:</w:t>
      </w:r>
    </w:p>
    <w:p w14:paraId="2C1E7474" w14:textId="77777777" w:rsidR="005825EC" w:rsidRDefault="005825EC" w:rsidP="005825EC">
      <w:pPr>
        <w:pStyle w:val="NormalWeb"/>
        <w:numPr>
          <w:ilvl w:val="0"/>
          <w:numId w:val="6"/>
        </w:numPr>
      </w:pPr>
      <w:r>
        <w:t>Seeing the full pipeline of products</w:t>
      </w:r>
    </w:p>
    <w:p w14:paraId="2766575D" w14:textId="77777777" w:rsidR="005825EC" w:rsidRDefault="005825EC" w:rsidP="005825EC">
      <w:pPr>
        <w:pStyle w:val="NormalWeb"/>
        <w:numPr>
          <w:ilvl w:val="0"/>
          <w:numId w:val="6"/>
        </w:numPr>
      </w:pPr>
      <w:r>
        <w:t>Comparing products across applications and timelines</w:t>
      </w:r>
    </w:p>
    <w:p w14:paraId="1C3260BB" w14:textId="77777777" w:rsidR="005825EC" w:rsidRDefault="005825EC" w:rsidP="005825EC">
      <w:pPr>
        <w:pStyle w:val="NormalWeb"/>
        <w:numPr>
          <w:ilvl w:val="0"/>
          <w:numId w:val="6"/>
        </w:numPr>
      </w:pPr>
      <w:r>
        <w:t>Prioritizing introduction based on evidence</w:t>
      </w:r>
    </w:p>
    <w:p w14:paraId="53B5A685" w14:textId="77777777" w:rsidR="005825EC" w:rsidRDefault="005825EC" w:rsidP="005825EC">
      <w:pPr>
        <w:pStyle w:val="NormalWeb"/>
      </w:pPr>
      <w:r>
        <w:rPr>
          <w:rStyle w:val="Strong"/>
        </w:rPr>
        <w:t>ALIGN’s theory of change:</w:t>
      </w:r>
      <w:r>
        <w:br/>
        <w:t>If fragmented data are integrated into a structured, comparable system →</w:t>
      </w:r>
      <w:r>
        <w:br/>
        <w:t>then decision-makers can prioritize effectively →</w:t>
      </w:r>
      <w:r>
        <w:br/>
        <w:t>leading to faster and more equitable product introduction.</w:t>
      </w:r>
    </w:p>
    <w:p w14:paraId="7AC22C2E" w14:textId="77777777" w:rsidR="005825EC" w:rsidRDefault="005825EC" w:rsidP="005825EC">
      <w:pPr>
        <w:pStyle w:val="NormalWeb"/>
      </w:pPr>
      <w:r>
        <w:rPr>
          <w:rStyle w:val="Strong"/>
        </w:rPr>
        <w:t>Supporting resources:</w:t>
      </w:r>
    </w:p>
    <w:p w14:paraId="0625E82F" w14:textId="77777777" w:rsidR="005825EC" w:rsidRDefault="005825EC" w:rsidP="005825EC">
      <w:pPr>
        <w:pStyle w:val="NormalWeb"/>
        <w:numPr>
          <w:ilvl w:val="0"/>
          <w:numId w:val="7"/>
        </w:numPr>
      </w:pPr>
      <w:r>
        <w:lastRenderedPageBreak/>
        <w:t xml:space="preserve">[Concept Note: ALIGN Theory of Change] </w:t>
      </w:r>
      <w:r>
        <w:rPr>
          <w:rStyle w:val="Emphasis"/>
        </w:rPr>
        <w:t>(placeholder link)</w:t>
      </w:r>
    </w:p>
    <w:p w14:paraId="77491622" w14:textId="77777777" w:rsidR="005825EC" w:rsidRDefault="005825EC" w:rsidP="005825EC">
      <w:pPr>
        <w:pStyle w:val="NormalWeb"/>
        <w:numPr>
          <w:ilvl w:val="0"/>
          <w:numId w:val="7"/>
        </w:numPr>
      </w:pPr>
      <w:r>
        <w:t xml:space="preserve">[Evidence Brief: Fragmentation in Global Health Product Data] </w:t>
      </w:r>
      <w:r>
        <w:rPr>
          <w:rStyle w:val="Emphasis"/>
        </w:rPr>
        <w:t>(placeholder link)</w:t>
      </w:r>
    </w:p>
    <w:p w14:paraId="49E305FF" w14:textId="77777777" w:rsidR="005825EC" w:rsidRDefault="009A307D" w:rsidP="005825EC">
      <w:r>
        <w:rPr>
          <w:noProof/>
        </w:rPr>
        <w:pict w14:anchorId="5A712F10">
          <v:rect id="_x0000_i1041" style="width:0;height:1.5pt" o:hralign="center" o:hrstd="t" o:hr="t" fillcolor="#a0a0a0" stroked="f"/>
        </w:pict>
      </w:r>
    </w:p>
    <w:p w14:paraId="2569D3D7" w14:textId="77777777" w:rsidR="005825EC" w:rsidRDefault="005825EC" w:rsidP="005825EC">
      <w:pPr>
        <w:pStyle w:val="Heading2"/>
      </w:pPr>
      <w:r>
        <w:t xml:space="preserve">3. What is the ALIGN Global Hub? </w:t>
      </w:r>
      <w:r>
        <w:rPr>
          <w:rStyle w:val="Emphasis"/>
        </w:rPr>
        <w:t>(always visible)</w:t>
      </w:r>
    </w:p>
    <w:p w14:paraId="67F0AE87" w14:textId="77777777" w:rsidR="005825EC" w:rsidRDefault="005825EC" w:rsidP="005825EC">
      <w:pPr>
        <w:pStyle w:val="NormalWeb"/>
      </w:pPr>
      <w:r>
        <w:t>The ALIGN platform consists of two complementary systems:</w:t>
      </w:r>
    </w:p>
    <w:p w14:paraId="17645F91" w14:textId="77777777" w:rsidR="005825EC" w:rsidRDefault="005825EC" w:rsidP="005825EC">
      <w:pPr>
        <w:pStyle w:val="NormalWeb"/>
        <w:numPr>
          <w:ilvl w:val="0"/>
          <w:numId w:val="8"/>
        </w:numPr>
      </w:pPr>
      <w:r>
        <w:rPr>
          <w:rStyle w:val="Strong"/>
        </w:rPr>
        <w:t>Global Hub (this tool)</w:t>
      </w:r>
      <w:r>
        <w:br/>
        <w:t>Aggregates global market intelligence to understand the product supply landscape</w:t>
      </w:r>
    </w:p>
    <w:p w14:paraId="00B2EE15" w14:textId="77777777" w:rsidR="005825EC" w:rsidRDefault="005825EC" w:rsidP="005825EC">
      <w:pPr>
        <w:pStyle w:val="NormalWeb"/>
        <w:numPr>
          <w:ilvl w:val="0"/>
          <w:numId w:val="8"/>
        </w:numPr>
      </w:pPr>
      <w:r>
        <w:rPr>
          <w:rStyle w:val="Strong"/>
        </w:rPr>
        <w:t>National Hubs (in development)</w:t>
      </w:r>
      <w:r>
        <w:br/>
        <w:t>Tailored to country-specific priorities, integrating demand, delivery, and policy data</w:t>
      </w:r>
    </w:p>
    <w:p w14:paraId="6B645C24" w14:textId="77777777" w:rsidR="005825EC" w:rsidRDefault="005825EC" w:rsidP="005825EC">
      <w:pPr>
        <w:pStyle w:val="NormalWeb"/>
      </w:pPr>
      <w:r>
        <w:t xml:space="preserve">The Global Hub functions as a </w:t>
      </w:r>
      <w:r>
        <w:rPr>
          <w:rStyle w:val="Strong"/>
        </w:rPr>
        <w:t>structured intelligence platform</w:t>
      </w:r>
      <w:r>
        <w:t xml:space="preserve"> for tracking, classifying, and comparing health products across applications, development phases, and geographies.</w:t>
      </w:r>
    </w:p>
    <w:p w14:paraId="042FB9FC" w14:textId="77777777" w:rsidR="005825EC" w:rsidRDefault="009A307D" w:rsidP="005825EC">
      <w:r>
        <w:rPr>
          <w:noProof/>
        </w:rPr>
        <w:pict w14:anchorId="110183A2">
          <v:rect id="_x0000_i1040" style="width:0;height:1.5pt" o:hralign="center" o:hrstd="t" o:hr="t" fillcolor="#a0a0a0" stroked="f"/>
        </w:pict>
      </w:r>
    </w:p>
    <w:p w14:paraId="35FE9C97" w14:textId="77777777" w:rsidR="005825EC" w:rsidRDefault="005825EC" w:rsidP="005825EC">
      <w:pPr>
        <w:pStyle w:val="Heading2"/>
      </w:pPr>
      <w:r>
        <w:t xml:space="preserve">4. How the Hub can help you </w:t>
      </w:r>
      <w:r>
        <w:rPr>
          <w:rStyle w:val="Emphasis"/>
        </w:rPr>
        <w:t>(expandable with persona tabs)</w:t>
      </w:r>
    </w:p>
    <w:p w14:paraId="03CA0E7F" w14:textId="77777777" w:rsidR="005825EC" w:rsidRDefault="005825EC" w:rsidP="005825EC">
      <w:pPr>
        <w:pStyle w:val="NormalWeb"/>
      </w:pPr>
      <w:r>
        <w:rPr>
          <w:rStyle w:val="Strong"/>
        </w:rPr>
        <w:t>[Expandable section: “How to use the Hub”]</w:t>
      </w:r>
    </w:p>
    <w:p w14:paraId="799AD61B" w14:textId="77777777" w:rsidR="005825EC" w:rsidRDefault="005825EC" w:rsidP="005825EC">
      <w:pPr>
        <w:pStyle w:val="Heading3"/>
      </w:pPr>
      <w:r>
        <w:t>Key workflows</w:t>
      </w:r>
    </w:p>
    <w:p w14:paraId="4414BDF3" w14:textId="77777777" w:rsidR="005825EC" w:rsidRDefault="005825EC" w:rsidP="005825EC">
      <w:pPr>
        <w:pStyle w:val="NormalWeb"/>
      </w:pPr>
      <w:r>
        <w:rPr>
          <w:rStyle w:val="Strong"/>
        </w:rPr>
        <w:t>Explore the landscape</w:t>
      </w:r>
    </w:p>
    <w:p w14:paraId="6AC7DB95" w14:textId="77777777" w:rsidR="005825EC" w:rsidRDefault="005825EC" w:rsidP="005825EC">
      <w:pPr>
        <w:pStyle w:val="NormalWeb"/>
        <w:numPr>
          <w:ilvl w:val="0"/>
          <w:numId w:val="9"/>
        </w:numPr>
      </w:pPr>
      <w:r>
        <w:t xml:space="preserve">Use the </w:t>
      </w:r>
      <w:r>
        <w:rPr>
          <w:rStyle w:val="Strong"/>
        </w:rPr>
        <w:t>Overview page</w:t>
      </w:r>
      <w:r>
        <w:t xml:space="preserve"> to filter by application, development stage, or geography</w:t>
      </w:r>
    </w:p>
    <w:p w14:paraId="103FC7D6" w14:textId="77777777" w:rsidR="005825EC" w:rsidRDefault="005825EC" w:rsidP="005825EC">
      <w:pPr>
        <w:pStyle w:val="NormalWeb"/>
      </w:pPr>
      <w:r>
        <w:rPr>
          <w:rStyle w:val="Strong"/>
        </w:rPr>
        <w:t>Compare products</w:t>
      </w:r>
    </w:p>
    <w:p w14:paraId="79E21503" w14:textId="77777777" w:rsidR="005825EC" w:rsidRDefault="005825EC" w:rsidP="005825EC">
      <w:pPr>
        <w:pStyle w:val="NormalWeb"/>
        <w:numPr>
          <w:ilvl w:val="0"/>
          <w:numId w:val="10"/>
        </w:numPr>
      </w:pPr>
      <w:r>
        <w:t xml:space="preserve">Add products to the </w:t>
      </w:r>
      <w:r>
        <w:rPr>
          <w:rStyle w:val="Strong"/>
        </w:rPr>
        <w:t>comparison cart</w:t>
      </w:r>
    </w:p>
    <w:p w14:paraId="714CFDBC" w14:textId="77777777" w:rsidR="005825EC" w:rsidRDefault="005825EC" w:rsidP="005825EC">
      <w:pPr>
        <w:pStyle w:val="NormalWeb"/>
        <w:numPr>
          <w:ilvl w:val="0"/>
          <w:numId w:val="10"/>
        </w:numPr>
      </w:pPr>
      <w:r>
        <w:t xml:space="preserve">Navigate to </w:t>
      </w:r>
      <w:r>
        <w:rPr>
          <w:rStyle w:val="Strong"/>
        </w:rPr>
        <w:t>Product Comparison</w:t>
      </w:r>
      <w:r>
        <w:t xml:space="preserve"> to evaluate milestones and characteristics</w:t>
      </w:r>
    </w:p>
    <w:p w14:paraId="31AF19D9" w14:textId="77777777" w:rsidR="005825EC" w:rsidRDefault="005825EC" w:rsidP="005825EC">
      <w:pPr>
        <w:pStyle w:val="NormalWeb"/>
      </w:pPr>
      <w:r>
        <w:rPr>
          <w:rStyle w:val="Strong"/>
        </w:rPr>
        <w:t>Interpret timelines</w:t>
      </w:r>
    </w:p>
    <w:p w14:paraId="257F59BF" w14:textId="77777777" w:rsidR="005825EC" w:rsidRDefault="005825EC" w:rsidP="005825EC">
      <w:pPr>
        <w:pStyle w:val="NormalWeb"/>
        <w:numPr>
          <w:ilvl w:val="0"/>
          <w:numId w:val="11"/>
        </w:numPr>
      </w:pPr>
      <w:r>
        <w:t>Review projected and actual milestones across development and introduction</w:t>
      </w:r>
    </w:p>
    <w:p w14:paraId="21A2CBE8" w14:textId="77777777" w:rsidR="005825EC" w:rsidRDefault="009A307D" w:rsidP="005825EC">
      <w:r>
        <w:rPr>
          <w:noProof/>
        </w:rPr>
        <w:pict w14:anchorId="46C8C177">
          <v:rect id="_x0000_i1039" style="width:0;height:1.5pt" o:hralign="center" o:hrstd="t" o:hr="t" fillcolor="#a0a0a0" stroked="f"/>
        </w:pict>
      </w:r>
    </w:p>
    <w:p w14:paraId="7D753CBF" w14:textId="77777777" w:rsidR="005825EC" w:rsidRDefault="005825EC" w:rsidP="005825EC">
      <w:pPr>
        <w:pStyle w:val="Heading3"/>
      </w:pPr>
      <w:r>
        <w:t>Common user paths</w:t>
      </w:r>
    </w:p>
    <w:p w14:paraId="15A877CE" w14:textId="77777777" w:rsidR="005825EC" w:rsidRDefault="005825EC" w:rsidP="005825EC">
      <w:pPr>
        <w:pStyle w:val="NormalWeb"/>
      </w:pPr>
      <w:r>
        <w:rPr>
          <w:rStyle w:val="Strong"/>
        </w:rPr>
        <w:t>Policy-makers</w:t>
      </w:r>
      <w:r>
        <w:br/>
        <w:t>→ Identify priority products for introduction</w:t>
      </w:r>
      <w:r>
        <w:br/>
        <w:t>→ Compare timing and readiness</w:t>
      </w:r>
    </w:p>
    <w:p w14:paraId="7B08DC72" w14:textId="77777777" w:rsidR="005825EC" w:rsidRDefault="005825EC" w:rsidP="005825EC">
      <w:pPr>
        <w:pStyle w:val="NormalWeb"/>
      </w:pPr>
      <w:r>
        <w:rPr>
          <w:rStyle w:val="Strong"/>
        </w:rPr>
        <w:lastRenderedPageBreak/>
        <w:t>Donors / global partners</w:t>
      </w:r>
      <w:r>
        <w:br/>
        <w:t>→ Understand pipeline gaps</w:t>
      </w:r>
      <w:r>
        <w:br/>
        <w:t>→ Align investments</w:t>
      </w:r>
    </w:p>
    <w:p w14:paraId="1DFDED9D" w14:textId="77777777" w:rsidR="005825EC" w:rsidRDefault="005825EC" w:rsidP="005825EC">
      <w:pPr>
        <w:pStyle w:val="NormalWeb"/>
      </w:pPr>
      <w:r>
        <w:rPr>
          <w:rStyle w:val="Strong"/>
        </w:rPr>
        <w:t>Researchers</w:t>
      </w:r>
      <w:r>
        <w:br/>
        <w:t>→ Analyze development timelines and regulatory pathways</w:t>
      </w:r>
    </w:p>
    <w:p w14:paraId="31915E9A" w14:textId="77777777" w:rsidR="005825EC" w:rsidRDefault="009A307D" w:rsidP="005825EC">
      <w:r>
        <w:rPr>
          <w:noProof/>
        </w:rPr>
        <w:pict w14:anchorId="57B69F1C">
          <v:rect id="_x0000_i1038" style="width:0;height:1.5pt" o:hralign="center" o:hrstd="t" o:hr="t" fillcolor="#a0a0a0" stroked="f"/>
        </w:pict>
      </w:r>
    </w:p>
    <w:p w14:paraId="30E7071F" w14:textId="77777777" w:rsidR="005825EC" w:rsidRDefault="005825EC" w:rsidP="005825EC">
      <w:pPr>
        <w:pStyle w:val="NormalWeb"/>
      </w:pPr>
      <w:r>
        <w:rPr>
          <w:rStyle w:val="Strong"/>
        </w:rPr>
        <w:t>User guide:</w:t>
      </w:r>
    </w:p>
    <w:p w14:paraId="2A090D8D" w14:textId="77777777" w:rsidR="005825EC" w:rsidRDefault="005825EC" w:rsidP="005825EC">
      <w:pPr>
        <w:pStyle w:val="NormalWeb"/>
        <w:numPr>
          <w:ilvl w:val="0"/>
          <w:numId w:val="12"/>
        </w:numPr>
      </w:pPr>
      <w:r>
        <w:t xml:space="preserve">[Quick Start Guide (2-minute walkthrough)] </w:t>
      </w:r>
      <w:r>
        <w:rPr>
          <w:rStyle w:val="Emphasis"/>
        </w:rPr>
        <w:t>(placeholder link)</w:t>
      </w:r>
    </w:p>
    <w:p w14:paraId="3859932B" w14:textId="77777777" w:rsidR="005825EC" w:rsidRDefault="005825EC" w:rsidP="005825EC">
      <w:pPr>
        <w:pStyle w:val="NormalWeb"/>
        <w:numPr>
          <w:ilvl w:val="0"/>
          <w:numId w:val="12"/>
        </w:numPr>
      </w:pPr>
      <w:r>
        <w:t xml:space="preserve">[Full User Manual (PDF)] </w:t>
      </w:r>
      <w:r>
        <w:rPr>
          <w:rStyle w:val="Emphasis"/>
        </w:rPr>
        <w:t>(placeholder link)</w:t>
      </w:r>
    </w:p>
    <w:p w14:paraId="5F6FB442" w14:textId="77777777" w:rsidR="005825EC" w:rsidRDefault="005825EC" w:rsidP="005825EC">
      <w:pPr>
        <w:pStyle w:val="NormalWeb"/>
        <w:numPr>
          <w:ilvl w:val="0"/>
          <w:numId w:val="12"/>
        </w:numPr>
      </w:pPr>
      <w:r>
        <w:t xml:space="preserve">[Video walkthrough] </w:t>
      </w:r>
      <w:r>
        <w:rPr>
          <w:rStyle w:val="Emphasis"/>
        </w:rPr>
        <w:t>(placeholder link)</w:t>
      </w:r>
    </w:p>
    <w:p w14:paraId="5B63276F" w14:textId="77777777" w:rsidR="005825EC" w:rsidRDefault="009A307D" w:rsidP="005825EC">
      <w:r>
        <w:rPr>
          <w:noProof/>
        </w:rPr>
        <w:pict w14:anchorId="7F484FBF">
          <v:rect id="_x0000_i1037" style="width:0;height:1.5pt" o:hralign="center" o:hrstd="t" o:hr="t" fillcolor="#a0a0a0" stroked="f"/>
        </w:pict>
      </w:r>
    </w:p>
    <w:p w14:paraId="05ECB6E7" w14:textId="77777777" w:rsidR="005825EC" w:rsidRDefault="005825EC" w:rsidP="005825EC">
      <w:pPr>
        <w:pStyle w:val="Heading2"/>
      </w:pPr>
      <w:r>
        <w:t xml:space="preserve">5. Scope of data </w:t>
      </w:r>
      <w:r>
        <w:rPr>
          <w:rStyle w:val="Emphasis"/>
        </w:rPr>
        <w:t>(expandable)</w:t>
      </w:r>
    </w:p>
    <w:p w14:paraId="65316CC5" w14:textId="77777777" w:rsidR="005825EC" w:rsidRDefault="005825EC" w:rsidP="005825EC">
      <w:pPr>
        <w:pStyle w:val="NormalWeb"/>
      </w:pPr>
      <w:r>
        <w:rPr>
          <w:rStyle w:val="Strong"/>
        </w:rPr>
        <w:t>[Expandable section: “What is included?”]</w:t>
      </w:r>
    </w:p>
    <w:p w14:paraId="3426ABE4" w14:textId="77777777" w:rsidR="005825EC" w:rsidRDefault="005825EC" w:rsidP="005825EC">
      <w:pPr>
        <w:pStyle w:val="NormalWeb"/>
      </w:pPr>
      <w:r>
        <w:t xml:space="preserve">The Global Hub includes a curated set of </w:t>
      </w:r>
      <w:r>
        <w:rPr>
          <w:rStyle w:val="Strong"/>
        </w:rPr>
        <w:t>health applications</w:t>
      </w:r>
      <w:r>
        <w:t xml:space="preserve"> (not limited to diseases), such as:</w:t>
      </w:r>
    </w:p>
    <w:p w14:paraId="4A9D1A00" w14:textId="77777777" w:rsidR="005825EC" w:rsidRDefault="005825EC" w:rsidP="005825EC">
      <w:pPr>
        <w:pStyle w:val="NormalWeb"/>
        <w:numPr>
          <w:ilvl w:val="0"/>
          <w:numId w:val="13"/>
        </w:numPr>
      </w:pPr>
      <w:r>
        <w:t>Infectious diseases</w:t>
      </w:r>
    </w:p>
    <w:p w14:paraId="07FB597B" w14:textId="77777777" w:rsidR="005825EC" w:rsidRDefault="005825EC" w:rsidP="005825EC">
      <w:pPr>
        <w:pStyle w:val="NormalWeb"/>
        <w:numPr>
          <w:ilvl w:val="0"/>
          <w:numId w:val="13"/>
        </w:numPr>
      </w:pPr>
      <w:r>
        <w:t>Maternal, newborn, and child health (MNCH)</w:t>
      </w:r>
    </w:p>
    <w:p w14:paraId="50A4713D" w14:textId="77777777" w:rsidR="005825EC" w:rsidRDefault="005825EC" w:rsidP="005825EC">
      <w:pPr>
        <w:pStyle w:val="NormalWeb"/>
        <w:numPr>
          <w:ilvl w:val="0"/>
          <w:numId w:val="13"/>
        </w:numPr>
      </w:pPr>
      <w:r>
        <w:t>Preventive and diagnostic applications</w:t>
      </w:r>
    </w:p>
    <w:p w14:paraId="4F991BC8" w14:textId="77777777" w:rsidR="005825EC" w:rsidRDefault="005825EC" w:rsidP="005825EC">
      <w:pPr>
        <w:pStyle w:val="NormalWeb"/>
      </w:pPr>
      <w:r>
        <w:rPr>
          <w:rStyle w:val="Strong"/>
        </w:rPr>
        <w:t>Important notes:</w:t>
      </w:r>
    </w:p>
    <w:p w14:paraId="3FCBB3B4" w14:textId="77777777" w:rsidR="005825EC" w:rsidRDefault="005825EC" w:rsidP="005825EC">
      <w:pPr>
        <w:pStyle w:val="NormalWeb"/>
        <w:numPr>
          <w:ilvl w:val="0"/>
          <w:numId w:val="14"/>
        </w:numPr>
      </w:pPr>
      <w:r>
        <w:t xml:space="preserve">The dataset does </w:t>
      </w:r>
      <w:r>
        <w:rPr>
          <w:rStyle w:val="Strong"/>
        </w:rPr>
        <w:t>not yet cover all conditions</w:t>
      </w:r>
    </w:p>
    <w:p w14:paraId="04B9D763" w14:textId="77777777" w:rsidR="005825EC" w:rsidRDefault="005825EC" w:rsidP="005825EC">
      <w:pPr>
        <w:pStyle w:val="NormalWeb"/>
        <w:numPr>
          <w:ilvl w:val="0"/>
          <w:numId w:val="14"/>
        </w:numPr>
      </w:pPr>
      <w:r>
        <w:t>“Applications” are used instead of “diseases” to reflect broader use cases</w:t>
      </w:r>
    </w:p>
    <w:p w14:paraId="6888A005" w14:textId="77777777" w:rsidR="005825EC" w:rsidRDefault="005825EC" w:rsidP="005825EC">
      <w:pPr>
        <w:pStyle w:val="NormalWeb"/>
        <w:numPr>
          <w:ilvl w:val="0"/>
          <w:numId w:val="14"/>
        </w:numPr>
      </w:pPr>
      <w:r>
        <w:t>Inclusion is based on:</w:t>
      </w:r>
    </w:p>
    <w:p w14:paraId="5C6FBC5A" w14:textId="77777777" w:rsidR="005825EC" w:rsidRDefault="005825EC" w:rsidP="005825EC">
      <w:pPr>
        <w:pStyle w:val="NormalWeb"/>
        <w:numPr>
          <w:ilvl w:val="1"/>
          <w:numId w:val="14"/>
        </w:numPr>
      </w:pPr>
      <w:r>
        <w:t>Relevance to global health priorities</w:t>
      </w:r>
    </w:p>
    <w:p w14:paraId="4599AF0C" w14:textId="77777777" w:rsidR="005825EC" w:rsidRDefault="005825EC" w:rsidP="005825EC">
      <w:pPr>
        <w:pStyle w:val="NormalWeb"/>
        <w:numPr>
          <w:ilvl w:val="1"/>
          <w:numId w:val="14"/>
        </w:numPr>
      </w:pPr>
      <w:r>
        <w:t>Availability of structured data</w:t>
      </w:r>
    </w:p>
    <w:p w14:paraId="33DD3DD8" w14:textId="77777777" w:rsidR="005825EC" w:rsidRDefault="005825EC" w:rsidP="005825EC">
      <w:pPr>
        <w:pStyle w:val="NormalWeb"/>
      </w:pPr>
      <w:r>
        <w:rPr>
          <w:rStyle w:val="Strong"/>
        </w:rPr>
        <w:t>Detailed documentation:</w:t>
      </w:r>
    </w:p>
    <w:p w14:paraId="499A632E" w14:textId="77777777" w:rsidR="005825EC" w:rsidRDefault="005825EC" w:rsidP="005825EC">
      <w:pPr>
        <w:pStyle w:val="NormalWeb"/>
        <w:numPr>
          <w:ilvl w:val="0"/>
          <w:numId w:val="15"/>
        </w:numPr>
      </w:pPr>
      <w:r>
        <w:t xml:space="preserve">[Applications &amp; Inclusion Criteria] </w:t>
      </w:r>
      <w:r>
        <w:rPr>
          <w:rStyle w:val="Emphasis"/>
        </w:rPr>
        <w:t>(placeholder link)</w:t>
      </w:r>
    </w:p>
    <w:p w14:paraId="42DBC223" w14:textId="77777777" w:rsidR="005825EC" w:rsidRDefault="005825EC" w:rsidP="005825EC">
      <w:pPr>
        <w:pStyle w:val="NormalWeb"/>
        <w:numPr>
          <w:ilvl w:val="0"/>
          <w:numId w:val="15"/>
        </w:numPr>
      </w:pPr>
      <w:r>
        <w:t xml:space="preserve">[MNCH Definition Framework] </w:t>
      </w:r>
      <w:r>
        <w:rPr>
          <w:rStyle w:val="Emphasis"/>
        </w:rPr>
        <w:t>(placeholder link)</w:t>
      </w:r>
    </w:p>
    <w:p w14:paraId="03B39E2C" w14:textId="77777777" w:rsidR="005825EC" w:rsidRDefault="005825EC" w:rsidP="005825EC">
      <w:pPr>
        <w:pStyle w:val="NormalWeb"/>
        <w:numPr>
          <w:ilvl w:val="0"/>
          <w:numId w:val="15"/>
        </w:numPr>
      </w:pPr>
      <w:r>
        <w:t xml:space="preserve">[Data Dictionary] </w:t>
      </w:r>
      <w:r>
        <w:rPr>
          <w:rStyle w:val="Emphasis"/>
        </w:rPr>
        <w:t>(placeholder link)</w:t>
      </w:r>
    </w:p>
    <w:p w14:paraId="1CC7AF37" w14:textId="77777777" w:rsidR="005825EC" w:rsidRDefault="009A307D" w:rsidP="005825EC">
      <w:r>
        <w:rPr>
          <w:noProof/>
        </w:rPr>
        <w:pict w14:anchorId="2D93CF78">
          <v:rect id="_x0000_i1036" style="width:0;height:1.5pt" o:hralign="center" o:hrstd="t" o:hr="t" fillcolor="#a0a0a0" stroked="f"/>
        </w:pict>
      </w:r>
    </w:p>
    <w:p w14:paraId="3399916B" w14:textId="77777777" w:rsidR="005825EC" w:rsidRDefault="005825EC" w:rsidP="005825EC">
      <w:pPr>
        <w:pStyle w:val="Heading2"/>
      </w:pPr>
      <w:r>
        <w:t xml:space="preserve">6. Data sources </w:t>
      </w:r>
      <w:r>
        <w:rPr>
          <w:rStyle w:val="Emphasis"/>
        </w:rPr>
        <w:t>(expandable table + link-out)</w:t>
      </w:r>
    </w:p>
    <w:p w14:paraId="256C97CE" w14:textId="77777777" w:rsidR="005825EC" w:rsidRDefault="005825EC" w:rsidP="005825EC">
      <w:pPr>
        <w:pStyle w:val="NormalWeb"/>
      </w:pPr>
      <w:r>
        <w:rPr>
          <w:rStyle w:val="Strong"/>
        </w:rPr>
        <w:t>[Expandable section: “Where the data comes from”]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6"/>
        <w:gridCol w:w="2423"/>
      </w:tblGrid>
      <w:tr w:rsidR="005825EC" w14:paraId="40C610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087CD2" w14:textId="77777777" w:rsidR="005825EC" w:rsidRDefault="005825E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Source</w:t>
            </w:r>
          </w:p>
        </w:tc>
        <w:tc>
          <w:tcPr>
            <w:tcW w:w="0" w:type="auto"/>
            <w:vAlign w:val="center"/>
            <w:hideMark/>
          </w:tcPr>
          <w:p w14:paraId="2AA96CF7" w14:textId="77777777" w:rsidR="005825EC" w:rsidRDefault="005825E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Role</w:t>
            </w:r>
          </w:p>
        </w:tc>
      </w:tr>
      <w:tr w:rsidR="005825EC" w14:paraId="268001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2B824" w14:textId="77777777" w:rsidR="005825EC" w:rsidRDefault="005825EC">
            <w:r>
              <w:t>WHO ICTRP</w:t>
            </w:r>
          </w:p>
        </w:tc>
        <w:tc>
          <w:tcPr>
            <w:tcW w:w="0" w:type="auto"/>
            <w:vAlign w:val="center"/>
            <w:hideMark/>
          </w:tcPr>
          <w:p w14:paraId="2B3EE265" w14:textId="77777777" w:rsidR="005825EC" w:rsidRDefault="005825EC">
            <w:r>
              <w:t>Clinical trial aggregation</w:t>
            </w:r>
          </w:p>
        </w:tc>
      </w:tr>
      <w:tr w:rsidR="005825EC" w14:paraId="0580D3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E1509" w14:textId="77777777" w:rsidR="005825EC" w:rsidRDefault="005825EC">
            <w:r>
              <w:t>ClinicalTrials.gov</w:t>
            </w:r>
          </w:p>
        </w:tc>
        <w:tc>
          <w:tcPr>
            <w:tcW w:w="0" w:type="auto"/>
            <w:vAlign w:val="center"/>
            <w:hideMark/>
          </w:tcPr>
          <w:p w14:paraId="5809A80D" w14:textId="77777777" w:rsidR="005825EC" w:rsidRDefault="005825EC">
            <w:r>
              <w:t>Trial registry</w:t>
            </w:r>
          </w:p>
        </w:tc>
      </w:tr>
      <w:tr w:rsidR="005825EC" w14:paraId="6CC310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D8B26" w14:textId="77777777" w:rsidR="005825EC" w:rsidRDefault="005825EC">
            <w:r>
              <w:t>WHO Prequalification</w:t>
            </w:r>
          </w:p>
        </w:tc>
        <w:tc>
          <w:tcPr>
            <w:tcW w:w="0" w:type="auto"/>
            <w:vAlign w:val="center"/>
            <w:hideMark/>
          </w:tcPr>
          <w:p w14:paraId="4BE008EC" w14:textId="77777777" w:rsidR="005825EC" w:rsidRDefault="005825EC">
            <w:r>
              <w:t>Regulatory signal</w:t>
            </w:r>
          </w:p>
        </w:tc>
      </w:tr>
      <w:tr w:rsidR="005825EC" w14:paraId="3D3208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035F1" w14:textId="77777777" w:rsidR="005825EC" w:rsidRDefault="005825EC">
            <w:r>
              <w:t>National Regulatory Authorities</w:t>
            </w:r>
          </w:p>
        </w:tc>
        <w:tc>
          <w:tcPr>
            <w:tcW w:w="0" w:type="auto"/>
            <w:vAlign w:val="center"/>
            <w:hideMark/>
          </w:tcPr>
          <w:p w14:paraId="1002242A" w14:textId="77777777" w:rsidR="005825EC" w:rsidRDefault="005825EC">
            <w:r>
              <w:t>Market authorization</w:t>
            </w:r>
          </w:p>
        </w:tc>
      </w:tr>
      <w:tr w:rsidR="005825EC" w14:paraId="37B16E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CF8E9" w14:textId="77777777" w:rsidR="005825EC" w:rsidRDefault="005825EC">
            <w:r>
              <w:t>Impact Global Health Tracker</w:t>
            </w:r>
          </w:p>
        </w:tc>
        <w:tc>
          <w:tcPr>
            <w:tcW w:w="0" w:type="auto"/>
            <w:vAlign w:val="center"/>
            <w:hideMark/>
          </w:tcPr>
          <w:p w14:paraId="1235DECF" w14:textId="77777777" w:rsidR="005825EC" w:rsidRDefault="005825EC">
            <w:r>
              <w:t>Funding signals</w:t>
            </w:r>
          </w:p>
        </w:tc>
      </w:tr>
      <w:tr w:rsidR="005825EC" w14:paraId="64FD48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108D8" w14:textId="77777777" w:rsidR="005825EC" w:rsidRDefault="005825EC">
            <w:r>
              <w:t>WHO EML / Diagnostics Lists</w:t>
            </w:r>
          </w:p>
        </w:tc>
        <w:tc>
          <w:tcPr>
            <w:tcW w:w="0" w:type="auto"/>
            <w:vAlign w:val="center"/>
            <w:hideMark/>
          </w:tcPr>
          <w:p w14:paraId="35ED204F" w14:textId="77777777" w:rsidR="005825EC" w:rsidRDefault="005825EC">
            <w:r>
              <w:t>Policy inclusion</w:t>
            </w:r>
          </w:p>
        </w:tc>
      </w:tr>
      <w:tr w:rsidR="005825EC" w14:paraId="284B78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E3DE6" w14:textId="77777777" w:rsidR="005825EC" w:rsidRDefault="005825EC">
            <w:r>
              <w:t>UNICEF Supply Data</w:t>
            </w:r>
          </w:p>
        </w:tc>
        <w:tc>
          <w:tcPr>
            <w:tcW w:w="0" w:type="auto"/>
            <w:vAlign w:val="center"/>
            <w:hideMark/>
          </w:tcPr>
          <w:p w14:paraId="7A299524" w14:textId="77777777" w:rsidR="005825EC" w:rsidRDefault="005825EC">
            <w:r>
              <w:t>Procurement signals</w:t>
            </w:r>
          </w:p>
        </w:tc>
      </w:tr>
    </w:tbl>
    <w:p w14:paraId="724EE237" w14:textId="77777777" w:rsidR="005825EC" w:rsidRDefault="005825EC" w:rsidP="005825EC">
      <w:pPr>
        <w:pStyle w:val="NormalWeb"/>
      </w:pPr>
      <w:r>
        <w:rPr>
          <w:rStyle w:val="Strong"/>
        </w:rPr>
        <w:t>Full documentation:</w:t>
      </w:r>
    </w:p>
    <w:p w14:paraId="57493FD4" w14:textId="77777777" w:rsidR="005825EC" w:rsidRDefault="005825EC" w:rsidP="005825EC">
      <w:pPr>
        <w:pStyle w:val="NormalWeb"/>
        <w:numPr>
          <w:ilvl w:val="0"/>
          <w:numId w:val="16"/>
        </w:numPr>
      </w:pPr>
      <w:r>
        <w:t xml:space="preserve">[Complete Horizon Scanning Database List] </w:t>
      </w:r>
      <w:r>
        <w:rPr>
          <w:rStyle w:val="Emphasis"/>
        </w:rPr>
        <w:t>(GitHub link placeholder)</w:t>
      </w:r>
    </w:p>
    <w:p w14:paraId="30229EC7" w14:textId="77777777" w:rsidR="005825EC" w:rsidRDefault="005825EC" w:rsidP="005825EC">
      <w:pPr>
        <w:pStyle w:val="NormalWeb"/>
        <w:numPr>
          <w:ilvl w:val="0"/>
          <w:numId w:val="16"/>
        </w:numPr>
      </w:pPr>
      <w:r>
        <w:t xml:space="preserve">[Source Integration Methods] </w:t>
      </w:r>
      <w:r>
        <w:rPr>
          <w:rStyle w:val="Emphasis"/>
        </w:rPr>
        <w:t>(technical doc placeholder)</w:t>
      </w:r>
    </w:p>
    <w:p w14:paraId="3B320E50" w14:textId="77777777" w:rsidR="005825EC" w:rsidRDefault="009A307D" w:rsidP="005825EC">
      <w:r>
        <w:rPr>
          <w:noProof/>
        </w:rPr>
        <w:pict w14:anchorId="25DF43D0">
          <v:rect id="_x0000_i1035" style="width:0;height:1.5pt" o:hralign="center" o:hrstd="t" o:hr="t" fillcolor="#a0a0a0" stroked="f"/>
        </w:pict>
      </w:r>
    </w:p>
    <w:p w14:paraId="0A5BDA9F" w14:textId="77777777" w:rsidR="005825EC" w:rsidRDefault="005825EC" w:rsidP="005825EC">
      <w:pPr>
        <w:pStyle w:val="Heading2"/>
      </w:pPr>
      <w:r>
        <w:t xml:space="preserve">7. Methodology </w:t>
      </w:r>
      <w:r>
        <w:rPr>
          <w:rStyle w:val="Emphasis"/>
        </w:rPr>
        <w:t>(expandable – HIGH VALUE SECTION)</w:t>
      </w:r>
    </w:p>
    <w:p w14:paraId="00DECB26" w14:textId="77777777" w:rsidR="005825EC" w:rsidRDefault="005825EC" w:rsidP="005825EC">
      <w:pPr>
        <w:pStyle w:val="NormalWeb"/>
      </w:pPr>
      <w:r>
        <w:rPr>
          <w:rStyle w:val="Strong"/>
        </w:rPr>
        <w:t>[Expandable section: “How the data is processed and calculated”]</w:t>
      </w:r>
    </w:p>
    <w:p w14:paraId="7E242BEB" w14:textId="77777777" w:rsidR="005825EC" w:rsidRDefault="005825EC" w:rsidP="005825EC">
      <w:pPr>
        <w:pStyle w:val="NormalWeb"/>
      </w:pPr>
      <w:r>
        <w:t>This section should be collapsible by default.</w:t>
      </w:r>
    </w:p>
    <w:p w14:paraId="4CB5E2A3" w14:textId="77777777" w:rsidR="005825EC" w:rsidRDefault="005825EC" w:rsidP="005825EC">
      <w:pPr>
        <w:pStyle w:val="Heading3"/>
      </w:pPr>
      <w:r>
        <w:t>7.1 Data integration</w:t>
      </w:r>
    </w:p>
    <w:p w14:paraId="78C46DCA" w14:textId="77777777" w:rsidR="005825EC" w:rsidRDefault="005825EC" w:rsidP="005825EC">
      <w:pPr>
        <w:pStyle w:val="NormalWeb"/>
      </w:pPr>
      <w:r>
        <w:t>Data are harmonized across sources into a unified product-level registry using:</w:t>
      </w:r>
    </w:p>
    <w:p w14:paraId="22B4D1C6" w14:textId="77777777" w:rsidR="005825EC" w:rsidRDefault="005825EC" w:rsidP="005825EC">
      <w:pPr>
        <w:pStyle w:val="NormalWeb"/>
        <w:numPr>
          <w:ilvl w:val="0"/>
          <w:numId w:val="17"/>
        </w:numPr>
      </w:pPr>
      <w:r>
        <w:t>Name and synonym matching</w:t>
      </w:r>
    </w:p>
    <w:p w14:paraId="0DE06848" w14:textId="77777777" w:rsidR="005825EC" w:rsidRDefault="005825EC" w:rsidP="005825EC">
      <w:pPr>
        <w:pStyle w:val="NormalWeb"/>
        <w:numPr>
          <w:ilvl w:val="0"/>
          <w:numId w:val="17"/>
        </w:numPr>
      </w:pPr>
      <w:r>
        <w:t>Identifier mapping (e.g., regulatory IDs, standardized vocabularies)</w:t>
      </w:r>
    </w:p>
    <w:p w14:paraId="750D5357" w14:textId="77777777" w:rsidR="005825EC" w:rsidRDefault="005825EC" w:rsidP="005825EC">
      <w:pPr>
        <w:pStyle w:val="NormalWeb"/>
        <w:numPr>
          <w:ilvl w:val="0"/>
          <w:numId w:val="17"/>
        </w:numPr>
      </w:pPr>
      <w:r>
        <w:t>Cross-source validation</w:t>
      </w:r>
    </w:p>
    <w:p w14:paraId="1B4331DC" w14:textId="77777777" w:rsidR="005825EC" w:rsidRDefault="005825EC" w:rsidP="005825EC">
      <w:pPr>
        <w:pStyle w:val="NormalWeb"/>
      </w:pPr>
      <w:r>
        <w:rPr>
          <w:rStyle w:val="Strong"/>
        </w:rPr>
        <w:t>Technical reference:</w:t>
      </w:r>
    </w:p>
    <w:p w14:paraId="7BDC8522" w14:textId="77777777" w:rsidR="005825EC" w:rsidRDefault="005825EC" w:rsidP="005825EC">
      <w:pPr>
        <w:pStyle w:val="NormalWeb"/>
        <w:numPr>
          <w:ilvl w:val="0"/>
          <w:numId w:val="18"/>
        </w:numPr>
      </w:pPr>
      <w:r>
        <w:t xml:space="preserve">[Data Integration Pipeline Documentation] </w:t>
      </w:r>
      <w:r>
        <w:rPr>
          <w:rStyle w:val="Emphasis"/>
        </w:rPr>
        <w:t>(placeholder link)</w:t>
      </w:r>
    </w:p>
    <w:p w14:paraId="55EC5CBD" w14:textId="77777777" w:rsidR="005825EC" w:rsidRDefault="009A307D" w:rsidP="005825EC">
      <w:r>
        <w:rPr>
          <w:noProof/>
        </w:rPr>
        <w:pict w14:anchorId="32E20C8A">
          <v:rect id="_x0000_i1034" style="width:0;height:1.5pt" o:hralign="center" o:hrstd="t" o:hr="t" fillcolor="#a0a0a0" stroked="f"/>
        </w:pict>
      </w:r>
    </w:p>
    <w:p w14:paraId="67AEB45F" w14:textId="77777777" w:rsidR="005825EC" w:rsidRDefault="005825EC" w:rsidP="005825EC">
      <w:pPr>
        <w:pStyle w:val="Heading3"/>
      </w:pPr>
      <w:r>
        <w:t>7.2 Key metrics and calculations</w:t>
      </w:r>
    </w:p>
    <w:p w14:paraId="344A8810" w14:textId="77777777" w:rsidR="005825EC" w:rsidRDefault="005825EC" w:rsidP="005825EC">
      <w:pPr>
        <w:pStyle w:val="NormalWeb"/>
      </w:pPr>
      <w:r>
        <w:rPr>
          <w:rStyle w:val="Strong"/>
        </w:rPr>
        <w:t>Development milestones</w:t>
      </w:r>
    </w:p>
    <w:p w14:paraId="2A52A8B4" w14:textId="77777777" w:rsidR="005825EC" w:rsidRDefault="005825EC" w:rsidP="005825EC">
      <w:pPr>
        <w:pStyle w:val="NormalWeb"/>
        <w:numPr>
          <w:ilvl w:val="0"/>
          <w:numId w:val="19"/>
        </w:numPr>
      </w:pPr>
      <w:r>
        <w:t>Proof of concept</w:t>
      </w:r>
    </w:p>
    <w:p w14:paraId="401EC188" w14:textId="77777777" w:rsidR="005825EC" w:rsidRDefault="005825EC" w:rsidP="005825EC">
      <w:pPr>
        <w:pStyle w:val="NormalWeb"/>
        <w:numPr>
          <w:ilvl w:val="0"/>
          <w:numId w:val="19"/>
        </w:numPr>
      </w:pPr>
      <w:r>
        <w:t>Marketing authorization (regulatory approval)</w:t>
      </w:r>
    </w:p>
    <w:p w14:paraId="76F34476" w14:textId="77777777" w:rsidR="005825EC" w:rsidRDefault="005825EC" w:rsidP="005825EC">
      <w:pPr>
        <w:pStyle w:val="NormalWeb"/>
        <w:numPr>
          <w:ilvl w:val="0"/>
          <w:numId w:val="19"/>
        </w:numPr>
      </w:pPr>
      <w:r>
        <w:t>First launch in LMICs</w:t>
      </w:r>
    </w:p>
    <w:p w14:paraId="6D965CB3" w14:textId="77777777" w:rsidR="005825EC" w:rsidRDefault="005825EC" w:rsidP="005825EC">
      <w:pPr>
        <w:pStyle w:val="NormalWeb"/>
      </w:pPr>
      <w:r>
        <w:rPr>
          <w:rStyle w:val="Strong"/>
        </w:rPr>
        <w:t>Projected timelines</w:t>
      </w:r>
    </w:p>
    <w:p w14:paraId="3C6F2634" w14:textId="77777777" w:rsidR="005825EC" w:rsidRDefault="005825EC" w:rsidP="005825EC">
      <w:pPr>
        <w:pStyle w:val="NormalWeb"/>
        <w:numPr>
          <w:ilvl w:val="0"/>
          <w:numId w:val="20"/>
        </w:numPr>
      </w:pPr>
      <w:r>
        <w:lastRenderedPageBreak/>
        <w:t>Derived using observed milestone patterns across similar products</w:t>
      </w:r>
    </w:p>
    <w:p w14:paraId="0F197761" w14:textId="77777777" w:rsidR="005825EC" w:rsidRDefault="005825EC" w:rsidP="005825EC">
      <w:pPr>
        <w:pStyle w:val="NormalWeb"/>
        <w:numPr>
          <w:ilvl w:val="0"/>
          <w:numId w:val="20"/>
        </w:numPr>
      </w:pPr>
      <w:r>
        <w:t>Includes uncertainty ranges (e.g., lower/upper bounds)</w:t>
      </w:r>
    </w:p>
    <w:p w14:paraId="5F057996" w14:textId="77777777" w:rsidR="005825EC" w:rsidRDefault="005825EC" w:rsidP="005825EC">
      <w:pPr>
        <w:pStyle w:val="NormalWeb"/>
      </w:pPr>
      <w:r>
        <w:rPr>
          <w:rStyle w:val="Strong"/>
        </w:rPr>
        <w:t>Market entry estimates</w:t>
      </w:r>
    </w:p>
    <w:p w14:paraId="701655EB" w14:textId="77777777" w:rsidR="005825EC" w:rsidRDefault="005825EC" w:rsidP="005825EC">
      <w:pPr>
        <w:pStyle w:val="NormalWeb"/>
        <w:numPr>
          <w:ilvl w:val="0"/>
          <w:numId w:val="21"/>
        </w:numPr>
      </w:pPr>
      <w:r>
        <w:t>Proxy indicators (e.g., launch + uptake assumptions)</w:t>
      </w:r>
    </w:p>
    <w:p w14:paraId="23EAFDD3" w14:textId="77777777" w:rsidR="005825EC" w:rsidRDefault="005825EC" w:rsidP="005825EC">
      <w:pPr>
        <w:pStyle w:val="NormalWeb"/>
        <w:numPr>
          <w:ilvl w:val="0"/>
          <w:numId w:val="21"/>
        </w:numPr>
      </w:pPr>
      <w:r>
        <w:t>Continuously refined as new data become available</w:t>
      </w:r>
    </w:p>
    <w:p w14:paraId="09185F3F" w14:textId="77777777" w:rsidR="005825EC" w:rsidRDefault="009A307D" w:rsidP="005825EC">
      <w:r>
        <w:rPr>
          <w:noProof/>
        </w:rPr>
        <w:pict w14:anchorId="65FBE47E">
          <v:rect id="_x0000_i1033" style="width:0;height:1.5pt" o:hralign="center" o:hrstd="t" o:hr="t" fillcolor="#a0a0a0" stroked="f"/>
        </w:pict>
      </w:r>
    </w:p>
    <w:p w14:paraId="070AB454" w14:textId="77777777" w:rsidR="005825EC" w:rsidRDefault="005825EC" w:rsidP="005825EC">
      <w:pPr>
        <w:pStyle w:val="Heading3"/>
      </w:pPr>
      <w:r>
        <w:t>7.3 Data standardization</w:t>
      </w:r>
    </w:p>
    <w:p w14:paraId="40B4B615" w14:textId="77777777" w:rsidR="005825EC" w:rsidRDefault="005825EC" w:rsidP="005825EC">
      <w:pPr>
        <w:pStyle w:val="NormalWeb"/>
        <w:numPr>
          <w:ilvl w:val="0"/>
          <w:numId w:val="22"/>
        </w:numPr>
      </w:pPr>
      <w:r>
        <w:t xml:space="preserve">Dates standardized to </w:t>
      </w:r>
      <w:r>
        <w:rPr>
          <w:rStyle w:val="Strong"/>
        </w:rPr>
        <w:t>YYYY-MM-DD</w:t>
      </w:r>
    </w:p>
    <w:p w14:paraId="6FBA2CFA" w14:textId="77777777" w:rsidR="005825EC" w:rsidRDefault="005825EC" w:rsidP="005825EC">
      <w:pPr>
        <w:pStyle w:val="NormalWeb"/>
        <w:numPr>
          <w:ilvl w:val="0"/>
          <w:numId w:val="22"/>
        </w:numPr>
      </w:pPr>
      <w:r>
        <w:t>Regulatory signals harmonized across agencies</w:t>
      </w:r>
    </w:p>
    <w:p w14:paraId="545C5B7F" w14:textId="77777777" w:rsidR="005825EC" w:rsidRDefault="005825EC" w:rsidP="005825EC">
      <w:pPr>
        <w:pStyle w:val="NormalWeb"/>
        <w:numPr>
          <w:ilvl w:val="0"/>
          <w:numId w:val="22"/>
        </w:numPr>
      </w:pPr>
      <w:r>
        <w:t>Product categories normalized across sources</w:t>
      </w:r>
    </w:p>
    <w:p w14:paraId="762EE788" w14:textId="77777777" w:rsidR="005825EC" w:rsidRDefault="009A307D" w:rsidP="005825EC">
      <w:r>
        <w:rPr>
          <w:noProof/>
        </w:rPr>
        <w:pict w14:anchorId="1D58A6C4">
          <v:rect id="_x0000_i1032" style="width:0;height:1.5pt" o:hralign="center" o:hrstd="t" o:hr="t" fillcolor="#a0a0a0" stroked="f"/>
        </w:pict>
      </w:r>
    </w:p>
    <w:p w14:paraId="007548CB" w14:textId="77777777" w:rsidR="005825EC" w:rsidRDefault="005825EC" w:rsidP="005825EC">
      <w:pPr>
        <w:pStyle w:val="Heading3"/>
      </w:pPr>
      <w:r>
        <w:t>7.4 Limitations</w:t>
      </w:r>
    </w:p>
    <w:p w14:paraId="2E7634F1" w14:textId="77777777" w:rsidR="005825EC" w:rsidRDefault="005825EC" w:rsidP="005825EC">
      <w:pPr>
        <w:pStyle w:val="NormalWeb"/>
        <w:numPr>
          <w:ilvl w:val="0"/>
          <w:numId w:val="23"/>
        </w:numPr>
      </w:pPr>
      <w:r>
        <w:t>Missing or inconsistent source data</w:t>
      </w:r>
    </w:p>
    <w:p w14:paraId="07D9C6F0" w14:textId="77777777" w:rsidR="005825EC" w:rsidRDefault="005825EC" w:rsidP="005825EC">
      <w:pPr>
        <w:pStyle w:val="NormalWeb"/>
        <w:numPr>
          <w:ilvl w:val="0"/>
          <w:numId w:val="23"/>
        </w:numPr>
      </w:pPr>
      <w:r>
        <w:t>Variability in reporting across registries</w:t>
      </w:r>
    </w:p>
    <w:p w14:paraId="48B1ABCF" w14:textId="77777777" w:rsidR="005825EC" w:rsidRDefault="005825EC" w:rsidP="005825EC">
      <w:pPr>
        <w:pStyle w:val="NormalWeb"/>
        <w:numPr>
          <w:ilvl w:val="0"/>
          <w:numId w:val="23"/>
        </w:numPr>
      </w:pPr>
      <w:r>
        <w:t>Forecast uncertainty</w:t>
      </w:r>
    </w:p>
    <w:p w14:paraId="6318F263" w14:textId="77777777" w:rsidR="005825EC" w:rsidRDefault="009A307D" w:rsidP="005825EC">
      <w:r>
        <w:rPr>
          <w:noProof/>
        </w:rPr>
        <w:pict w14:anchorId="2CA15257">
          <v:rect id="_x0000_i1031" style="width:0;height:1.5pt" o:hralign="center" o:hrstd="t" o:hr="t" fillcolor="#a0a0a0" stroked="f"/>
        </w:pict>
      </w:r>
    </w:p>
    <w:p w14:paraId="4F179B74" w14:textId="77777777" w:rsidR="005825EC" w:rsidRDefault="005825EC" w:rsidP="005825EC">
      <w:pPr>
        <w:pStyle w:val="NormalWeb"/>
      </w:pPr>
      <w:r>
        <w:rPr>
          <w:rStyle w:val="Strong"/>
        </w:rPr>
        <w:t>Detailed methods:</w:t>
      </w:r>
    </w:p>
    <w:p w14:paraId="57B382A9" w14:textId="77777777" w:rsidR="005825EC" w:rsidRDefault="005825EC" w:rsidP="005825EC">
      <w:pPr>
        <w:pStyle w:val="NormalWeb"/>
        <w:numPr>
          <w:ilvl w:val="0"/>
          <w:numId w:val="24"/>
        </w:numPr>
      </w:pPr>
      <w:r>
        <w:t xml:space="preserve">[Full Methodology Report (PDF)] </w:t>
      </w:r>
      <w:r>
        <w:rPr>
          <w:rStyle w:val="Emphasis"/>
        </w:rPr>
        <w:t>(placeholder link)</w:t>
      </w:r>
    </w:p>
    <w:p w14:paraId="1CA87F37" w14:textId="77777777" w:rsidR="005825EC" w:rsidRDefault="005825EC" w:rsidP="005825EC">
      <w:pPr>
        <w:pStyle w:val="NormalWeb"/>
        <w:numPr>
          <w:ilvl w:val="0"/>
          <w:numId w:val="24"/>
        </w:numPr>
      </w:pPr>
      <w:r>
        <w:t xml:space="preserve">[Forecasting Methods &amp; Assumptions] </w:t>
      </w:r>
      <w:r>
        <w:rPr>
          <w:rStyle w:val="Emphasis"/>
        </w:rPr>
        <w:t>(placeholder link)</w:t>
      </w:r>
    </w:p>
    <w:p w14:paraId="07251117" w14:textId="77777777" w:rsidR="005825EC" w:rsidRDefault="005825EC" w:rsidP="005825EC">
      <w:pPr>
        <w:pStyle w:val="NormalWeb"/>
        <w:numPr>
          <w:ilvl w:val="0"/>
          <w:numId w:val="24"/>
        </w:numPr>
      </w:pPr>
      <w:r>
        <w:t xml:space="preserve">[Data Validation Protocol] </w:t>
      </w:r>
      <w:r>
        <w:rPr>
          <w:rStyle w:val="Emphasis"/>
        </w:rPr>
        <w:t>(placeholder link)</w:t>
      </w:r>
    </w:p>
    <w:p w14:paraId="340D43FF" w14:textId="77777777" w:rsidR="005825EC" w:rsidRDefault="009A307D" w:rsidP="005825EC">
      <w:r>
        <w:rPr>
          <w:noProof/>
        </w:rPr>
        <w:pict w14:anchorId="2CB80CEE">
          <v:rect id="_x0000_i1030" style="width:0;height:1.5pt" o:hralign="center" o:hrstd="t" o:hr="t" fillcolor="#a0a0a0" stroked="f"/>
        </w:pict>
      </w:r>
    </w:p>
    <w:p w14:paraId="7BF660A7" w14:textId="77777777" w:rsidR="005825EC" w:rsidRDefault="005825EC" w:rsidP="005825EC">
      <w:pPr>
        <w:pStyle w:val="Heading2"/>
      </w:pPr>
      <w:r>
        <w:t xml:space="preserve">8. Previous work </w:t>
      </w:r>
      <w:r>
        <w:rPr>
          <w:rStyle w:val="Emphasis"/>
        </w:rPr>
        <w:t>(expandable)</w:t>
      </w:r>
    </w:p>
    <w:p w14:paraId="35E6F0C3" w14:textId="77777777" w:rsidR="005825EC" w:rsidRDefault="005825EC" w:rsidP="005825EC">
      <w:pPr>
        <w:pStyle w:val="NormalWeb"/>
      </w:pPr>
      <w:r>
        <w:rPr>
          <w:rStyle w:val="Strong"/>
        </w:rPr>
        <w:t>[Expandable section: “Integrated Horizon Scanning System”]</w:t>
      </w:r>
    </w:p>
    <w:p w14:paraId="77AF39AF" w14:textId="77777777" w:rsidR="005825EC" w:rsidRDefault="005825EC" w:rsidP="005825EC">
      <w:pPr>
        <w:pStyle w:val="NormalWeb"/>
      </w:pPr>
      <w:r>
        <w:t>The Global Hub builds on ALIGN’s horizon scanning work, which integrates signals across:</w:t>
      </w:r>
    </w:p>
    <w:p w14:paraId="1844EE68" w14:textId="77777777" w:rsidR="005825EC" w:rsidRDefault="005825EC" w:rsidP="005825EC">
      <w:pPr>
        <w:pStyle w:val="NormalWeb"/>
        <w:numPr>
          <w:ilvl w:val="0"/>
          <w:numId w:val="25"/>
        </w:numPr>
      </w:pPr>
      <w:r>
        <w:t>R&amp;D pipelines</w:t>
      </w:r>
    </w:p>
    <w:p w14:paraId="277ABA9D" w14:textId="77777777" w:rsidR="005825EC" w:rsidRDefault="005825EC" w:rsidP="005825EC">
      <w:pPr>
        <w:pStyle w:val="NormalWeb"/>
        <w:numPr>
          <w:ilvl w:val="0"/>
          <w:numId w:val="25"/>
        </w:numPr>
      </w:pPr>
      <w:r>
        <w:t>Regulatory approvals</w:t>
      </w:r>
    </w:p>
    <w:p w14:paraId="2A55E0AB" w14:textId="77777777" w:rsidR="005825EC" w:rsidRDefault="005825EC" w:rsidP="005825EC">
      <w:pPr>
        <w:pStyle w:val="NormalWeb"/>
        <w:numPr>
          <w:ilvl w:val="0"/>
          <w:numId w:val="25"/>
        </w:numPr>
      </w:pPr>
      <w:r>
        <w:t>Procurement and adoption</w:t>
      </w:r>
    </w:p>
    <w:p w14:paraId="3B98CC79" w14:textId="77777777" w:rsidR="005825EC" w:rsidRDefault="005825EC" w:rsidP="005825EC">
      <w:pPr>
        <w:pStyle w:val="NormalWeb"/>
      </w:pPr>
      <w:r>
        <w:t xml:space="preserve">This enables tracking from </w:t>
      </w:r>
      <w:r>
        <w:rPr>
          <w:rStyle w:val="Strong"/>
        </w:rPr>
        <w:t>early development → market introduction</w:t>
      </w:r>
      <w:r>
        <w:t>.</w:t>
      </w:r>
    </w:p>
    <w:p w14:paraId="6FE91B51" w14:textId="77777777" w:rsidR="005825EC" w:rsidRDefault="005825EC" w:rsidP="005825EC">
      <w:pPr>
        <w:pStyle w:val="NormalWeb"/>
      </w:pPr>
      <w:r>
        <w:rPr>
          <w:rStyle w:val="Strong"/>
        </w:rPr>
        <w:t>Learn more:</w:t>
      </w:r>
    </w:p>
    <w:p w14:paraId="5CC9D8B4" w14:textId="77777777" w:rsidR="005825EC" w:rsidRDefault="005825EC" w:rsidP="005825EC">
      <w:pPr>
        <w:pStyle w:val="NormalWeb"/>
        <w:numPr>
          <w:ilvl w:val="0"/>
          <w:numId w:val="26"/>
        </w:numPr>
      </w:pPr>
      <w:r>
        <w:lastRenderedPageBreak/>
        <w:t xml:space="preserve">[Horizon Scanning Technical Report] </w:t>
      </w:r>
      <w:r>
        <w:rPr>
          <w:rStyle w:val="Emphasis"/>
        </w:rPr>
        <w:t>(placeholder link)</w:t>
      </w:r>
    </w:p>
    <w:p w14:paraId="468B48FB" w14:textId="77777777" w:rsidR="005825EC" w:rsidRDefault="009A307D" w:rsidP="005825EC">
      <w:r>
        <w:rPr>
          <w:noProof/>
        </w:rPr>
        <w:pict w14:anchorId="4F55D7F1">
          <v:rect id="_x0000_i1029" style="width:0;height:1.5pt" o:hralign="center" o:hrstd="t" o:hr="t" fillcolor="#a0a0a0" stroked="f"/>
        </w:pict>
      </w:r>
    </w:p>
    <w:p w14:paraId="687BABFC" w14:textId="77777777" w:rsidR="005825EC" w:rsidRDefault="005825EC" w:rsidP="005825EC">
      <w:pPr>
        <w:pStyle w:val="Heading2"/>
      </w:pPr>
      <w:r>
        <w:t xml:space="preserve">9. Documentation &amp; definitions </w:t>
      </w:r>
      <w:r>
        <w:rPr>
          <w:rStyle w:val="Emphasis"/>
        </w:rPr>
        <w:t>(always visible quick links)</w:t>
      </w:r>
    </w:p>
    <w:p w14:paraId="6B81C47A" w14:textId="77777777" w:rsidR="005825EC" w:rsidRDefault="005825EC" w:rsidP="005825EC">
      <w:pPr>
        <w:pStyle w:val="NormalWeb"/>
      </w:pPr>
      <w:r>
        <w:t>To ensure usability and transparency:</w:t>
      </w:r>
    </w:p>
    <w:p w14:paraId="6C5B65AB" w14:textId="77777777" w:rsidR="005825EC" w:rsidRDefault="005825EC" w:rsidP="005825EC">
      <w:pPr>
        <w:pStyle w:val="NormalWeb"/>
        <w:numPr>
          <w:ilvl w:val="0"/>
          <w:numId w:val="27"/>
        </w:numPr>
      </w:pPr>
      <w:hyperlink r:id="rId5" w:history="1">
        <w:r>
          <w:rPr>
            <w:rStyle w:val="Hyperlink"/>
          </w:rPr>
          <w:t>Pipeline Definitions &amp; Terms (example)</w:t>
        </w:r>
      </w:hyperlink>
    </w:p>
    <w:p w14:paraId="095839CD" w14:textId="77777777" w:rsidR="005825EC" w:rsidRDefault="005825EC" w:rsidP="005825EC">
      <w:pPr>
        <w:pStyle w:val="NormalWeb"/>
        <w:numPr>
          <w:ilvl w:val="0"/>
          <w:numId w:val="27"/>
        </w:numPr>
      </w:pPr>
      <w:r>
        <w:t xml:space="preserve">[ALIGN Data Dictionary] </w:t>
      </w:r>
      <w:r>
        <w:rPr>
          <w:rStyle w:val="Emphasis"/>
        </w:rPr>
        <w:t>(placeholder link)</w:t>
      </w:r>
    </w:p>
    <w:p w14:paraId="18AE1783" w14:textId="77777777" w:rsidR="005825EC" w:rsidRDefault="005825EC" w:rsidP="005825EC">
      <w:pPr>
        <w:pStyle w:val="NormalWeb"/>
        <w:numPr>
          <w:ilvl w:val="0"/>
          <w:numId w:val="27"/>
        </w:numPr>
      </w:pPr>
      <w:r>
        <w:t xml:space="preserve">[Glossary of Key Terms] </w:t>
      </w:r>
      <w:r>
        <w:rPr>
          <w:rStyle w:val="Emphasis"/>
        </w:rPr>
        <w:t>(placeholder link)</w:t>
      </w:r>
    </w:p>
    <w:p w14:paraId="69C8AC3E" w14:textId="77777777" w:rsidR="005825EC" w:rsidRDefault="009A307D" w:rsidP="005825EC">
      <w:r>
        <w:rPr>
          <w:noProof/>
        </w:rPr>
        <w:pict w14:anchorId="317C5A48">
          <v:rect id="_x0000_i1028" style="width:0;height:1.5pt" o:hralign="center" o:hrstd="t" o:hr="t" fillcolor="#a0a0a0" stroked="f"/>
        </w:pict>
      </w:r>
    </w:p>
    <w:p w14:paraId="5284B471" w14:textId="77777777" w:rsidR="005825EC" w:rsidRDefault="005825EC" w:rsidP="005825EC">
      <w:pPr>
        <w:pStyle w:val="Heading2"/>
      </w:pPr>
      <w:r>
        <w:t xml:space="preserve">10. Roadmap &amp; upcoming features </w:t>
      </w:r>
      <w:r>
        <w:rPr>
          <w:rStyle w:val="Emphasis"/>
        </w:rPr>
        <w:t>(expandable timeline)</w:t>
      </w:r>
    </w:p>
    <w:p w14:paraId="480B3ECC" w14:textId="77777777" w:rsidR="005825EC" w:rsidRDefault="005825EC" w:rsidP="005825EC">
      <w:pPr>
        <w:pStyle w:val="NormalWeb"/>
      </w:pPr>
      <w:r>
        <w:rPr>
          <w:rStyle w:val="Strong"/>
        </w:rPr>
        <w:t>[Expandable section: “What’s coming next”]</w:t>
      </w:r>
    </w:p>
    <w:p w14:paraId="7274F997" w14:textId="77777777" w:rsidR="005825EC" w:rsidRDefault="005825EC" w:rsidP="005825EC">
      <w:pPr>
        <w:pStyle w:val="Heading3"/>
      </w:pPr>
      <w:r>
        <w:t>Q2 2026</w:t>
      </w:r>
    </w:p>
    <w:p w14:paraId="0C97FBC3" w14:textId="77777777" w:rsidR="005825EC" w:rsidRDefault="005825EC" w:rsidP="005825EC">
      <w:pPr>
        <w:pStyle w:val="NormalWeb"/>
        <w:numPr>
          <w:ilvl w:val="0"/>
          <w:numId w:val="28"/>
        </w:numPr>
      </w:pPr>
      <w:r>
        <w:t>Improved product categorization (e.g., “malaria diagnostic”, “pediatric HIV therapy”)</w:t>
      </w:r>
    </w:p>
    <w:p w14:paraId="3DA21C84" w14:textId="77777777" w:rsidR="005825EC" w:rsidRDefault="005825EC" w:rsidP="005825EC">
      <w:pPr>
        <w:pStyle w:val="NormalWeb"/>
        <w:numPr>
          <w:ilvl w:val="0"/>
          <w:numId w:val="28"/>
        </w:numPr>
      </w:pPr>
      <w:r>
        <w:t>Enhanced filtering and cross-page synchronization</w:t>
      </w:r>
    </w:p>
    <w:p w14:paraId="0F2CC208" w14:textId="77777777" w:rsidR="005825EC" w:rsidRDefault="005825EC" w:rsidP="005825EC">
      <w:pPr>
        <w:pStyle w:val="Heading3"/>
      </w:pPr>
      <w:r>
        <w:t>Q3 2026</w:t>
      </w:r>
    </w:p>
    <w:p w14:paraId="431C6AB9" w14:textId="77777777" w:rsidR="005825EC" w:rsidRDefault="005825EC" w:rsidP="005825EC">
      <w:pPr>
        <w:pStyle w:val="NormalWeb"/>
        <w:numPr>
          <w:ilvl w:val="0"/>
          <w:numId w:val="29"/>
        </w:numPr>
      </w:pPr>
      <w:r>
        <w:t>National Hub pilot (Kenya)</w:t>
      </w:r>
    </w:p>
    <w:p w14:paraId="34370F6D" w14:textId="77777777" w:rsidR="005825EC" w:rsidRDefault="005825EC" w:rsidP="005825EC">
      <w:pPr>
        <w:pStyle w:val="NormalWeb"/>
        <w:numPr>
          <w:ilvl w:val="0"/>
          <w:numId w:val="29"/>
        </w:numPr>
      </w:pPr>
      <w:r>
        <w:t>Expanded application coverage</w:t>
      </w:r>
    </w:p>
    <w:p w14:paraId="3F57A8BB" w14:textId="77777777" w:rsidR="005825EC" w:rsidRDefault="005825EC" w:rsidP="005825EC">
      <w:pPr>
        <w:pStyle w:val="Heading3"/>
      </w:pPr>
      <w:r>
        <w:t>Q4 2026</w:t>
      </w:r>
    </w:p>
    <w:p w14:paraId="20F0E980" w14:textId="77777777" w:rsidR="005825EC" w:rsidRDefault="005825EC" w:rsidP="005825EC">
      <w:pPr>
        <w:pStyle w:val="NormalWeb"/>
        <w:numPr>
          <w:ilvl w:val="0"/>
          <w:numId w:val="30"/>
        </w:numPr>
      </w:pPr>
      <w:r>
        <w:t>Advanced forecasting models</w:t>
      </w:r>
    </w:p>
    <w:p w14:paraId="553A85A0" w14:textId="77777777" w:rsidR="005825EC" w:rsidRDefault="005825EC" w:rsidP="005825EC">
      <w:pPr>
        <w:pStyle w:val="NormalWeb"/>
        <w:numPr>
          <w:ilvl w:val="0"/>
          <w:numId w:val="30"/>
        </w:numPr>
      </w:pPr>
      <w:r>
        <w:t>Portfolio prioritization tools</w:t>
      </w:r>
    </w:p>
    <w:p w14:paraId="412538D2" w14:textId="77777777" w:rsidR="005825EC" w:rsidRDefault="005825EC" w:rsidP="005825EC">
      <w:pPr>
        <w:pStyle w:val="Heading3"/>
      </w:pPr>
      <w:r>
        <w:t>2027</w:t>
      </w:r>
    </w:p>
    <w:p w14:paraId="4C01A721" w14:textId="77777777" w:rsidR="005825EC" w:rsidRDefault="005825EC" w:rsidP="005825EC">
      <w:pPr>
        <w:pStyle w:val="NormalWeb"/>
        <w:numPr>
          <w:ilvl w:val="0"/>
          <w:numId w:val="31"/>
        </w:numPr>
      </w:pPr>
      <w:r>
        <w:t>Full multi-country National Hub deployment</w:t>
      </w:r>
    </w:p>
    <w:p w14:paraId="76758AD5" w14:textId="77777777" w:rsidR="005825EC" w:rsidRDefault="005825EC" w:rsidP="005825EC">
      <w:pPr>
        <w:pStyle w:val="NormalWeb"/>
        <w:numPr>
          <w:ilvl w:val="0"/>
          <w:numId w:val="31"/>
        </w:numPr>
      </w:pPr>
      <w:r>
        <w:t>Integration of demand and delivery data</w:t>
      </w:r>
    </w:p>
    <w:p w14:paraId="165BF229" w14:textId="77777777" w:rsidR="005825EC" w:rsidRDefault="009A307D" w:rsidP="005825EC">
      <w:r>
        <w:rPr>
          <w:noProof/>
        </w:rPr>
        <w:pict w14:anchorId="6BFF6133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065CE35" w14:textId="77777777" w:rsidR="005825EC" w:rsidRDefault="005825EC" w:rsidP="005825EC">
      <w:pPr>
        <w:pStyle w:val="Heading2"/>
      </w:pPr>
      <w:r>
        <w:t xml:space="preserve">11. Current limitations </w:t>
      </w:r>
      <w:r>
        <w:rPr>
          <w:rStyle w:val="Emphasis"/>
        </w:rPr>
        <w:t>(expandable)</w:t>
      </w:r>
    </w:p>
    <w:p w14:paraId="3CA4B3C0" w14:textId="77777777" w:rsidR="005825EC" w:rsidRDefault="005825EC" w:rsidP="005825EC">
      <w:pPr>
        <w:pStyle w:val="NormalWeb"/>
      </w:pPr>
      <w:r>
        <w:rPr>
          <w:rStyle w:val="Strong"/>
        </w:rPr>
        <w:t>[Expandable section: “What to keep in mind”]</w:t>
      </w:r>
    </w:p>
    <w:p w14:paraId="1590A731" w14:textId="77777777" w:rsidR="005825EC" w:rsidRDefault="005825EC" w:rsidP="005825EC">
      <w:pPr>
        <w:pStyle w:val="NormalWeb"/>
        <w:numPr>
          <w:ilvl w:val="0"/>
          <w:numId w:val="32"/>
        </w:numPr>
      </w:pPr>
      <w:r>
        <w:t>Some metrics and summaries are still under development</w:t>
      </w:r>
    </w:p>
    <w:p w14:paraId="696ABF7E" w14:textId="77777777" w:rsidR="005825EC" w:rsidRDefault="005825EC" w:rsidP="005825EC">
      <w:pPr>
        <w:pStyle w:val="NormalWeb"/>
        <w:numPr>
          <w:ilvl w:val="0"/>
          <w:numId w:val="32"/>
        </w:numPr>
      </w:pPr>
      <w:r>
        <w:t>Coverage is partial and evolving</w:t>
      </w:r>
    </w:p>
    <w:p w14:paraId="3F41238F" w14:textId="77777777" w:rsidR="005825EC" w:rsidRDefault="005825EC" w:rsidP="005825EC">
      <w:pPr>
        <w:pStyle w:val="NormalWeb"/>
        <w:numPr>
          <w:ilvl w:val="0"/>
          <w:numId w:val="32"/>
        </w:numPr>
      </w:pPr>
      <w:r>
        <w:lastRenderedPageBreak/>
        <w:t>Certain projections may change as data are updated</w:t>
      </w:r>
    </w:p>
    <w:p w14:paraId="40FDF62C" w14:textId="77777777" w:rsidR="005825EC" w:rsidRDefault="009A307D" w:rsidP="005825EC">
      <w:r>
        <w:rPr>
          <w:noProof/>
        </w:rPr>
        <w:pict w14:anchorId="1310F4FD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9D9CBED" w14:textId="77777777" w:rsidR="005825EC" w:rsidRDefault="005825EC" w:rsidP="005825EC">
      <w:pPr>
        <w:pStyle w:val="Heading2"/>
      </w:pPr>
      <w:r>
        <w:t>UX / UI recommendations (implementation notes)</w:t>
      </w:r>
    </w:p>
    <w:p w14:paraId="63712A0C" w14:textId="77777777" w:rsidR="005825EC" w:rsidRDefault="005825EC" w:rsidP="005825EC">
      <w:pPr>
        <w:pStyle w:val="NormalWeb"/>
        <w:numPr>
          <w:ilvl w:val="0"/>
          <w:numId w:val="33"/>
        </w:numPr>
      </w:pPr>
      <w:r>
        <w:t xml:space="preserve">Sections 2, 4, 5, 6, 7, 8, 10, 11 → </w:t>
      </w:r>
      <w:r>
        <w:rPr>
          <w:rStyle w:val="Strong"/>
        </w:rPr>
        <w:t>collapsible accordions</w:t>
      </w:r>
    </w:p>
    <w:p w14:paraId="0766FE3B" w14:textId="77777777" w:rsidR="005825EC" w:rsidRDefault="005825EC" w:rsidP="005825EC">
      <w:pPr>
        <w:pStyle w:val="NormalWeb"/>
        <w:numPr>
          <w:ilvl w:val="0"/>
          <w:numId w:val="33"/>
        </w:numPr>
      </w:pPr>
      <w:r>
        <w:t xml:space="preserve">Section 1 + 3 + 9 → </w:t>
      </w:r>
      <w:r>
        <w:rPr>
          <w:rStyle w:val="Strong"/>
        </w:rPr>
        <w:t>always visible</w:t>
      </w:r>
    </w:p>
    <w:p w14:paraId="1533D82E" w14:textId="77777777" w:rsidR="005825EC" w:rsidRDefault="005825EC" w:rsidP="005825EC">
      <w:pPr>
        <w:pStyle w:val="NormalWeb"/>
        <w:numPr>
          <w:ilvl w:val="0"/>
          <w:numId w:val="33"/>
        </w:numPr>
      </w:pPr>
      <w:r>
        <w:t xml:space="preserve">Methodology → </w:t>
      </w:r>
      <w:r>
        <w:rPr>
          <w:rStyle w:val="Strong"/>
        </w:rPr>
        <w:t>collapsed by default</w:t>
      </w:r>
    </w:p>
    <w:p w14:paraId="00F91FC7" w14:textId="77777777" w:rsidR="005825EC" w:rsidRDefault="005825EC" w:rsidP="005825EC">
      <w:pPr>
        <w:pStyle w:val="NormalWeb"/>
        <w:numPr>
          <w:ilvl w:val="0"/>
          <w:numId w:val="33"/>
        </w:numPr>
      </w:pPr>
      <w:r>
        <w:t>Add:</w:t>
      </w:r>
    </w:p>
    <w:p w14:paraId="7044B835" w14:textId="77777777" w:rsidR="005825EC" w:rsidRDefault="005825EC" w:rsidP="005825EC">
      <w:pPr>
        <w:pStyle w:val="NormalWeb"/>
        <w:numPr>
          <w:ilvl w:val="1"/>
          <w:numId w:val="33"/>
        </w:numPr>
      </w:pPr>
      <w:r>
        <w:t>“Last updated: [DATE]” at top</w:t>
      </w:r>
    </w:p>
    <w:p w14:paraId="175BBBD3" w14:textId="77777777" w:rsidR="005825EC" w:rsidRDefault="005825EC" w:rsidP="005825EC">
      <w:pPr>
        <w:pStyle w:val="NormalWeb"/>
        <w:numPr>
          <w:ilvl w:val="1"/>
          <w:numId w:val="33"/>
        </w:numPr>
      </w:pPr>
      <w:r>
        <w:t>Sticky “Resources” sidebar (quick links)</w:t>
      </w:r>
    </w:p>
    <w:p w14:paraId="3541422E" w14:textId="77777777" w:rsidR="005825EC" w:rsidRDefault="005825EC" w:rsidP="005825EC">
      <w:pPr>
        <w:pStyle w:val="NormalWeb"/>
        <w:numPr>
          <w:ilvl w:val="1"/>
          <w:numId w:val="33"/>
        </w:numPr>
      </w:pPr>
      <w:r>
        <w:t>Inline info icons linking to docs</w:t>
      </w:r>
    </w:p>
    <w:p w14:paraId="23949EDA" w14:textId="77777777" w:rsidR="005825EC" w:rsidRDefault="009A307D" w:rsidP="005825EC">
      <w:r>
        <w:rPr>
          <w:noProof/>
        </w:rPr>
        <w:pict w14:anchorId="71AB2781">
          <v:rect id="_x0000_i1025" style="width:0;height:1.5pt" o:hralign="center" o:hrstd="t" o:hr="t" fillcolor="#a0a0a0" stroked="f"/>
        </w:pict>
      </w:r>
    </w:p>
    <w:p w14:paraId="179ED742" w14:textId="77777777" w:rsidR="005825EC" w:rsidRDefault="005825EC" w:rsidP="005825EC">
      <w:pPr>
        <w:pStyle w:val="NormalWeb"/>
      </w:pPr>
      <w:r>
        <w:t>If you want next step:</w:t>
      </w:r>
    </w:p>
    <w:p w14:paraId="43B4AC15" w14:textId="77777777" w:rsidR="005825EC" w:rsidRDefault="005825EC" w:rsidP="005825EC">
      <w:pPr>
        <w:pStyle w:val="NormalWeb"/>
        <w:numPr>
          <w:ilvl w:val="0"/>
          <w:numId w:val="34"/>
        </w:numPr>
      </w:pPr>
      <w:r>
        <w:t xml:space="preserve">I can convert this into </w:t>
      </w:r>
      <w:r>
        <w:rPr>
          <w:rStyle w:val="Strong"/>
        </w:rPr>
        <w:t>Shiny UI code (Python or R)</w:t>
      </w:r>
      <w:r>
        <w:t xml:space="preserve"> with accordions and popovers</w:t>
      </w:r>
    </w:p>
    <w:p w14:paraId="053A88CF" w14:textId="77777777" w:rsidR="005825EC" w:rsidRDefault="005825EC" w:rsidP="005825EC">
      <w:pPr>
        <w:pStyle w:val="NormalWeb"/>
        <w:numPr>
          <w:ilvl w:val="0"/>
          <w:numId w:val="34"/>
        </w:numPr>
      </w:pPr>
      <w:r>
        <w:t>Or map each section to your existing dashboard components (cards, value boxes, etc.)</w:t>
      </w:r>
    </w:p>
    <w:p w14:paraId="2C810C7A" w14:textId="77777777" w:rsidR="002E5552" w:rsidRDefault="002E5552"/>
    <w:sectPr w:rsidR="002E55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84708"/>
    <w:multiLevelType w:val="multilevel"/>
    <w:tmpl w:val="6C2C5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C8340B"/>
    <w:multiLevelType w:val="multilevel"/>
    <w:tmpl w:val="A516B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BDDAF4"/>
    <w:multiLevelType w:val="hybridMultilevel"/>
    <w:tmpl w:val="20083878"/>
    <w:lvl w:ilvl="0" w:tplc="BD888590">
      <w:start w:val="1"/>
      <w:numFmt w:val="decimal"/>
      <w:lvlText w:val="%1."/>
      <w:lvlJc w:val="left"/>
      <w:pPr>
        <w:ind w:left="1080" w:hanging="360"/>
      </w:pPr>
    </w:lvl>
    <w:lvl w:ilvl="1" w:tplc="6E4CF37E">
      <w:start w:val="1"/>
      <w:numFmt w:val="lowerLetter"/>
      <w:lvlText w:val="%2."/>
      <w:lvlJc w:val="left"/>
      <w:pPr>
        <w:ind w:left="1800" w:hanging="360"/>
      </w:pPr>
    </w:lvl>
    <w:lvl w:ilvl="2" w:tplc="AE30DA40">
      <w:start w:val="1"/>
      <w:numFmt w:val="lowerRoman"/>
      <w:lvlText w:val="%3."/>
      <w:lvlJc w:val="right"/>
      <w:pPr>
        <w:ind w:left="2520" w:hanging="180"/>
      </w:pPr>
    </w:lvl>
    <w:lvl w:ilvl="3" w:tplc="6E0A1826">
      <w:start w:val="1"/>
      <w:numFmt w:val="decimal"/>
      <w:lvlText w:val="%4."/>
      <w:lvlJc w:val="left"/>
      <w:pPr>
        <w:ind w:left="3240" w:hanging="360"/>
      </w:pPr>
    </w:lvl>
    <w:lvl w:ilvl="4" w:tplc="E4BEDD70">
      <w:start w:val="1"/>
      <w:numFmt w:val="lowerLetter"/>
      <w:lvlText w:val="%5."/>
      <w:lvlJc w:val="left"/>
      <w:pPr>
        <w:ind w:left="3960" w:hanging="360"/>
      </w:pPr>
    </w:lvl>
    <w:lvl w:ilvl="5" w:tplc="A4B8D14C">
      <w:start w:val="1"/>
      <w:numFmt w:val="lowerRoman"/>
      <w:lvlText w:val="%6."/>
      <w:lvlJc w:val="right"/>
      <w:pPr>
        <w:ind w:left="4680" w:hanging="180"/>
      </w:pPr>
    </w:lvl>
    <w:lvl w:ilvl="6" w:tplc="E902A6A8">
      <w:start w:val="1"/>
      <w:numFmt w:val="decimal"/>
      <w:lvlText w:val="%7."/>
      <w:lvlJc w:val="left"/>
      <w:pPr>
        <w:ind w:left="5400" w:hanging="360"/>
      </w:pPr>
    </w:lvl>
    <w:lvl w:ilvl="7" w:tplc="1D6E6A8C">
      <w:start w:val="1"/>
      <w:numFmt w:val="lowerLetter"/>
      <w:lvlText w:val="%8."/>
      <w:lvlJc w:val="left"/>
      <w:pPr>
        <w:ind w:left="6120" w:hanging="360"/>
      </w:pPr>
    </w:lvl>
    <w:lvl w:ilvl="8" w:tplc="DCF66E34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07951"/>
    <w:multiLevelType w:val="multilevel"/>
    <w:tmpl w:val="FAB45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E6194F"/>
    <w:multiLevelType w:val="multilevel"/>
    <w:tmpl w:val="33F6E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3D1CEF"/>
    <w:multiLevelType w:val="multilevel"/>
    <w:tmpl w:val="49468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F9604A"/>
    <w:multiLevelType w:val="multilevel"/>
    <w:tmpl w:val="91EC7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2053D9"/>
    <w:multiLevelType w:val="multilevel"/>
    <w:tmpl w:val="F350E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AF21E7"/>
    <w:multiLevelType w:val="multilevel"/>
    <w:tmpl w:val="A2308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4412E7"/>
    <w:multiLevelType w:val="multilevel"/>
    <w:tmpl w:val="D9AAF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8A47A4"/>
    <w:multiLevelType w:val="multilevel"/>
    <w:tmpl w:val="4454A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BD7D68"/>
    <w:multiLevelType w:val="multilevel"/>
    <w:tmpl w:val="B0A65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3B5699"/>
    <w:multiLevelType w:val="multilevel"/>
    <w:tmpl w:val="E3BAD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C121DD"/>
    <w:multiLevelType w:val="hybridMultilevel"/>
    <w:tmpl w:val="2C200C4A"/>
    <w:lvl w:ilvl="0" w:tplc="C4CA1798">
      <w:start w:val="1"/>
      <w:numFmt w:val="decimal"/>
      <w:lvlText w:val="%1."/>
      <w:lvlJc w:val="left"/>
      <w:pPr>
        <w:ind w:left="720" w:hanging="360"/>
      </w:pPr>
    </w:lvl>
    <w:lvl w:ilvl="1" w:tplc="67EE9A0C">
      <w:start w:val="1"/>
      <w:numFmt w:val="lowerLetter"/>
      <w:lvlText w:val="%2."/>
      <w:lvlJc w:val="left"/>
      <w:pPr>
        <w:ind w:left="1440" w:hanging="360"/>
      </w:pPr>
    </w:lvl>
    <w:lvl w:ilvl="2" w:tplc="327E8E16">
      <w:start w:val="1"/>
      <w:numFmt w:val="lowerRoman"/>
      <w:lvlText w:val="%3."/>
      <w:lvlJc w:val="right"/>
      <w:pPr>
        <w:ind w:left="2160" w:hanging="180"/>
      </w:pPr>
    </w:lvl>
    <w:lvl w:ilvl="3" w:tplc="514A0FAA">
      <w:start w:val="1"/>
      <w:numFmt w:val="decimal"/>
      <w:lvlText w:val="%4."/>
      <w:lvlJc w:val="left"/>
      <w:pPr>
        <w:ind w:left="2880" w:hanging="360"/>
      </w:pPr>
    </w:lvl>
    <w:lvl w:ilvl="4" w:tplc="568A7570">
      <w:start w:val="1"/>
      <w:numFmt w:val="lowerLetter"/>
      <w:lvlText w:val="%5."/>
      <w:lvlJc w:val="left"/>
      <w:pPr>
        <w:ind w:left="3600" w:hanging="360"/>
      </w:pPr>
    </w:lvl>
    <w:lvl w:ilvl="5" w:tplc="CEF6518C">
      <w:start w:val="1"/>
      <w:numFmt w:val="lowerRoman"/>
      <w:lvlText w:val="%6."/>
      <w:lvlJc w:val="right"/>
      <w:pPr>
        <w:ind w:left="4320" w:hanging="180"/>
      </w:pPr>
    </w:lvl>
    <w:lvl w:ilvl="6" w:tplc="C700D5DE">
      <w:start w:val="1"/>
      <w:numFmt w:val="decimal"/>
      <w:lvlText w:val="%7."/>
      <w:lvlJc w:val="left"/>
      <w:pPr>
        <w:ind w:left="5040" w:hanging="360"/>
      </w:pPr>
    </w:lvl>
    <w:lvl w:ilvl="7" w:tplc="3FAC3AF0">
      <w:start w:val="1"/>
      <w:numFmt w:val="lowerLetter"/>
      <w:lvlText w:val="%8."/>
      <w:lvlJc w:val="left"/>
      <w:pPr>
        <w:ind w:left="5760" w:hanging="360"/>
      </w:pPr>
    </w:lvl>
    <w:lvl w:ilvl="8" w:tplc="91FC01E4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3B20F9"/>
    <w:multiLevelType w:val="multilevel"/>
    <w:tmpl w:val="6FC0B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794460"/>
    <w:multiLevelType w:val="multilevel"/>
    <w:tmpl w:val="9FC01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E16EBE"/>
    <w:multiLevelType w:val="multilevel"/>
    <w:tmpl w:val="92A2E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804E4A"/>
    <w:multiLevelType w:val="multilevel"/>
    <w:tmpl w:val="680C2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EB79DA"/>
    <w:multiLevelType w:val="multilevel"/>
    <w:tmpl w:val="023E6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343F38"/>
    <w:multiLevelType w:val="multilevel"/>
    <w:tmpl w:val="FF363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371045"/>
    <w:multiLevelType w:val="multilevel"/>
    <w:tmpl w:val="C3308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3E7C76"/>
    <w:multiLevelType w:val="multilevel"/>
    <w:tmpl w:val="F7807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3324E6"/>
    <w:multiLevelType w:val="multilevel"/>
    <w:tmpl w:val="7C7C0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F65A45"/>
    <w:multiLevelType w:val="multilevel"/>
    <w:tmpl w:val="B9185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0B2DF5"/>
    <w:multiLevelType w:val="multilevel"/>
    <w:tmpl w:val="9530C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D6385B"/>
    <w:multiLevelType w:val="multilevel"/>
    <w:tmpl w:val="93220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B16FE0"/>
    <w:multiLevelType w:val="multilevel"/>
    <w:tmpl w:val="8E248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5651CE"/>
    <w:multiLevelType w:val="multilevel"/>
    <w:tmpl w:val="190C3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FC321D"/>
    <w:multiLevelType w:val="multilevel"/>
    <w:tmpl w:val="7A301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5F5D2D"/>
    <w:multiLevelType w:val="multilevel"/>
    <w:tmpl w:val="9524F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9E2F0D"/>
    <w:multiLevelType w:val="multilevel"/>
    <w:tmpl w:val="A50C3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127F76"/>
    <w:multiLevelType w:val="multilevel"/>
    <w:tmpl w:val="71624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B575FA"/>
    <w:multiLevelType w:val="multilevel"/>
    <w:tmpl w:val="9278A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72061C"/>
    <w:multiLevelType w:val="multilevel"/>
    <w:tmpl w:val="13C82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4492764">
    <w:abstractNumId w:val="2"/>
  </w:num>
  <w:num w:numId="2" w16cid:durableId="1754159584">
    <w:abstractNumId w:val="13"/>
  </w:num>
  <w:num w:numId="3" w16cid:durableId="549264559">
    <w:abstractNumId w:val="1"/>
  </w:num>
  <w:num w:numId="4" w16cid:durableId="1493907513">
    <w:abstractNumId w:val="8"/>
  </w:num>
  <w:num w:numId="5" w16cid:durableId="202638760">
    <w:abstractNumId w:val="6"/>
  </w:num>
  <w:num w:numId="6" w16cid:durableId="2088064448">
    <w:abstractNumId w:val="9"/>
  </w:num>
  <w:num w:numId="7" w16cid:durableId="1260680487">
    <w:abstractNumId w:val="31"/>
  </w:num>
  <w:num w:numId="8" w16cid:durableId="773985565">
    <w:abstractNumId w:val="12"/>
  </w:num>
  <w:num w:numId="9" w16cid:durableId="437527158">
    <w:abstractNumId w:val="16"/>
  </w:num>
  <w:num w:numId="10" w16cid:durableId="1004623200">
    <w:abstractNumId w:val="19"/>
  </w:num>
  <w:num w:numId="11" w16cid:durableId="491331250">
    <w:abstractNumId w:val="5"/>
  </w:num>
  <w:num w:numId="12" w16cid:durableId="801970748">
    <w:abstractNumId w:val="17"/>
  </w:num>
  <w:num w:numId="13" w16cid:durableId="1577662138">
    <w:abstractNumId w:val="7"/>
  </w:num>
  <w:num w:numId="14" w16cid:durableId="582110508">
    <w:abstractNumId w:val="10"/>
  </w:num>
  <w:num w:numId="15" w16cid:durableId="1319185196">
    <w:abstractNumId w:val="22"/>
  </w:num>
  <w:num w:numId="16" w16cid:durableId="1738358557">
    <w:abstractNumId w:val="3"/>
  </w:num>
  <w:num w:numId="17" w16cid:durableId="786313101">
    <w:abstractNumId w:val="33"/>
  </w:num>
  <w:num w:numId="18" w16cid:durableId="1965260573">
    <w:abstractNumId w:val="0"/>
  </w:num>
  <w:num w:numId="19" w16cid:durableId="1579359656">
    <w:abstractNumId w:val="20"/>
  </w:num>
  <w:num w:numId="20" w16cid:durableId="1392734587">
    <w:abstractNumId w:val="27"/>
  </w:num>
  <w:num w:numId="21" w16cid:durableId="531771651">
    <w:abstractNumId w:val="15"/>
  </w:num>
  <w:num w:numId="22" w16cid:durableId="1339389452">
    <w:abstractNumId w:val="32"/>
  </w:num>
  <w:num w:numId="23" w16cid:durableId="494802774">
    <w:abstractNumId w:val="30"/>
  </w:num>
  <w:num w:numId="24" w16cid:durableId="957375970">
    <w:abstractNumId w:val="23"/>
  </w:num>
  <w:num w:numId="25" w16cid:durableId="857425324">
    <w:abstractNumId w:val="28"/>
  </w:num>
  <w:num w:numId="26" w16cid:durableId="2175327">
    <w:abstractNumId w:val="4"/>
  </w:num>
  <w:num w:numId="27" w16cid:durableId="1532645638">
    <w:abstractNumId w:val="21"/>
  </w:num>
  <w:num w:numId="28" w16cid:durableId="1664624848">
    <w:abstractNumId w:val="11"/>
  </w:num>
  <w:num w:numId="29" w16cid:durableId="1571650676">
    <w:abstractNumId w:val="25"/>
  </w:num>
  <w:num w:numId="30" w16cid:durableId="916211707">
    <w:abstractNumId w:val="18"/>
  </w:num>
  <w:num w:numId="31" w16cid:durableId="1261185772">
    <w:abstractNumId w:val="14"/>
  </w:num>
  <w:num w:numId="32" w16cid:durableId="1074738335">
    <w:abstractNumId w:val="26"/>
  </w:num>
  <w:num w:numId="33" w16cid:durableId="1914268555">
    <w:abstractNumId w:val="24"/>
  </w:num>
  <w:num w:numId="34" w16cid:durableId="723723853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552"/>
    <w:rsid w:val="00003BB9"/>
    <w:rsid w:val="00004BC1"/>
    <w:rsid w:val="00006D88"/>
    <w:rsid w:val="00007C22"/>
    <w:rsid w:val="00010F12"/>
    <w:rsid w:val="00012E02"/>
    <w:rsid w:val="00014482"/>
    <w:rsid w:val="00016EF9"/>
    <w:rsid w:val="00017129"/>
    <w:rsid w:val="00021C71"/>
    <w:rsid w:val="00023379"/>
    <w:rsid w:val="00025401"/>
    <w:rsid w:val="0002688D"/>
    <w:rsid w:val="00032C6C"/>
    <w:rsid w:val="000333A6"/>
    <w:rsid w:val="000351DA"/>
    <w:rsid w:val="00040796"/>
    <w:rsid w:val="000441A4"/>
    <w:rsid w:val="00044930"/>
    <w:rsid w:val="00051839"/>
    <w:rsid w:val="000518C0"/>
    <w:rsid w:val="00051C29"/>
    <w:rsid w:val="0005258C"/>
    <w:rsid w:val="000619BC"/>
    <w:rsid w:val="00061B98"/>
    <w:rsid w:val="00062E6F"/>
    <w:rsid w:val="00064FF1"/>
    <w:rsid w:val="000677D2"/>
    <w:rsid w:val="00071691"/>
    <w:rsid w:val="00071FD2"/>
    <w:rsid w:val="000738A2"/>
    <w:rsid w:val="00074941"/>
    <w:rsid w:val="000800C8"/>
    <w:rsid w:val="00082893"/>
    <w:rsid w:val="00083C93"/>
    <w:rsid w:val="00085157"/>
    <w:rsid w:val="00086D20"/>
    <w:rsid w:val="00094077"/>
    <w:rsid w:val="00094A92"/>
    <w:rsid w:val="000952EF"/>
    <w:rsid w:val="00096F05"/>
    <w:rsid w:val="000A2D17"/>
    <w:rsid w:val="000A2D5B"/>
    <w:rsid w:val="000A4813"/>
    <w:rsid w:val="000A4F5B"/>
    <w:rsid w:val="000B67E1"/>
    <w:rsid w:val="000B7443"/>
    <w:rsid w:val="000B78DB"/>
    <w:rsid w:val="000C2C78"/>
    <w:rsid w:val="000C5F87"/>
    <w:rsid w:val="000C7DB2"/>
    <w:rsid w:val="000D15D2"/>
    <w:rsid w:val="000D1E67"/>
    <w:rsid w:val="000D4696"/>
    <w:rsid w:val="000D53EC"/>
    <w:rsid w:val="000E1B6D"/>
    <w:rsid w:val="000E1D6C"/>
    <w:rsid w:val="000E695F"/>
    <w:rsid w:val="000F5CC6"/>
    <w:rsid w:val="000F7322"/>
    <w:rsid w:val="000F7DEA"/>
    <w:rsid w:val="00100D3D"/>
    <w:rsid w:val="00103745"/>
    <w:rsid w:val="00103A5C"/>
    <w:rsid w:val="0010518B"/>
    <w:rsid w:val="001054CE"/>
    <w:rsid w:val="001120CD"/>
    <w:rsid w:val="00112959"/>
    <w:rsid w:val="00112B72"/>
    <w:rsid w:val="00115123"/>
    <w:rsid w:val="00115E31"/>
    <w:rsid w:val="00117F31"/>
    <w:rsid w:val="0012078F"/>
    <w:rsid w:val="0012132C"/>
    <w:rsid w:val="00124276"/>
    <w:rsid w:val="00125AB4"/>
    <w:rsid w:val="001260CE"/>
    <w:rsid w:val="001400FE"/>
    <w:rsid w:val="00141913"/>
    <w:rsid w:val="001441E1"/>
    <w:rsid w:val="0014468F"/>
    <w:rsid w:val="00144CA5"/>
    <w:rsid w:val="00144F16"/>
    <w:rsid w:val="00146DAA"/>
    <w:rsid w:val="001471C7"/>
    <w:rsid w:val="0015173E"/>
    <w:rsid w:val="00153178"/>
    <w:rsid w:val="00154E18"/>
    <w:rsid w:val="0015604B"/>
    <w:rsid w:val="00157B27"/>
    <w:rsid w:val="0016327E"/>
    <w:rsid w:val="00163EB1"/>
    <w:rsid w:val="00167269"/>
    <w:rsid w:val="001678C5"/>
    <w:rsid w:val="00170889"/>
    <w:rsid w:val="001716E0"/>
    <w:rsid w:val="00172958"/>
    <w:rsid w:val="00174BDA"/>
    <w:rsid w:val="001816BF"/>
    <w:rsid w:val="001821B4"/>
    <w:rsid w:val="00182442"/>
    <w:rsid w:val="00184467"/>
    <w:rsid w:val="0019254A"/>
    <w:rsid w:val="00193C73"/>
    <w:rsid w:val="00194AAD"/>
    <w:rsid w:val="00195608"/>
    <w:rsid w:val="0019640D"/>
    <w:rsid w:val="001A031F"/>
    <w:rsid w:val="001A05F2"/>
    <w:rsid w:val="001A611B"/>
    <w:rsid w:val="001B0E6A"/>
    <w:rsid w:val="001B395B"/>
    <w:rsid w:val="001B42BF"/>
    <w:rsid w:val="001B6E54"/>
    <w:rsid w:val="001C02AE"/>
    <w:rsid w:val="001C1E91"/>
    <w:rsid w:val="001C1F8A"/>
    <w:rsid w:val="001C343B"/>
    <w:rsid w:val="001C4C1A"/>
    <w:rsid w:val="001C6FC3"/>
    <w:rsid w:val="001C7453"/>
    <w:rsid w:val="001D08E0"/>
    <w:rsid w:val="001D125E"/>
    <w:rsid w:val="001D7D95"/>
    <w:rsid w:val="001D7DC5"/>
    <w:rsid w:val="001E06A6"/>
    <w:rsid w:val="001E07F6"/>
    <w:rsid w:val="001E0B90"/>
    <w:rsid w:val="001E3351"/>
    <w:rsid w:val="001E4E4B"/>
    <w:rsid w:val="001E4E50"/>
    <w:rsid w:val="001E69EF"/>
    <w:rsid w:val="001F00DC"/>
    <w:rsid w:val="001F1995"/>
    <w:rsid w:val="001F57DD"/>
    <w:rsid w:val="00200175"/>
    <w:rsid w:val="00200C2B"/>
    <w:rsid w:val="00202B44"/>
    <w:rsid w:val="002075FD"/>
    <w:rsid w:val="00207908"/>
    <w:rsid w:val="00210F22"/>
    <w:rsid w:val="002139B7"/>
    <w:rsid w:val="002144D4"/>
    <w:rsid w:val="00215B19"/>
    <w:rsid w:val="002209B8"/>
    <w:rsid w:val="002213AF"/>
    <w:rsid w:val="0022609C"/>
    <w:rsid w:val="00226B91"/>
    <w:rsid w:val="00226E27"/>
    <w:rsid w:val="00227D9D"/>
    <w:rsid w:val="00230724"/>
    <w:rsid w:val="00234E8C"/>
    <w:rsid w:val="00236F28"/>
    <w:rsid w:val="002407DD"/>
    <w:rsid w:val="002427CB"/>
    <w:rsid w:val="00244665"/>
    <w:rsid w:val="00245B95"/>
    <w:rsid w:val="0024624F"/>
    <w:rsid w:val="002532C8"/>
    <w:rsid w:val="00253448"/>
    <w:rsid w:val="00256B32"/>
    <w:rsid w:val="0026053B"/>
    <w:rsid w:val="00260C87"/>
    <w:rsid w:val="00262097"/>
    <w:rsid w:val="00262A42"/>
    <w:rsid w:val="00263679"/>
    <w:rsid w:val="0026424A"/>
    <w:rsid w:val="00271F33"/>
    <w:rsid w:val="0027243E"/>
    <w:rsid w:val="002767DB"/>
    <w:rsid w:val="0027726C"/>
    <w:rsid w:val="002816BA"/>
    <w:rsid w:val="002870E2"/>
    <w:rsid w:val="00291A00"/>
    <w:rsid w:val="00292268"/>
    <w:rsid w:val="00292D5E"/>
    <w:rsid w:val="00292E6A"/>
    <w:rsid w:val="00294A75"/>
    <w:rsid w:val="00294B79"/>
    <w:rsid w:val="00296040"/>
    <w:rsid w:val="00296657"/>
    <w:rsid w:val="002A1A16"/>
    <w:rsid w:val="002A6705"/>
    <w:rsid w:val="002B0441"/>
    <w:rsid w:val="002B737B"/>
    <w:rsid w:val="002C0550"/>
    <w:rsid w:val="002C1DCB"/>
    <w:rsid w:val="002C46AE"/>
    <w:rsid w:val="002C5A3D"/>
    <w:rsid w:val="002C6771"/>
    <w:rsid w:val="002C7C74"/>
    <w:rsid w:val="002D5CC4"/>
    <w:rsid w:val="002D6DCB"/>
    <w:rsid w:val="002D7D07"/>
    <w:rsid w:val="002E195D"/>
    <w:rsid w:val="002E239F"/>
    <w:rsid w:val="002E4F29"/>
    <w:rsid w:val="002E5347"/>
    <w:rsid w:val="002E5552"/>
    <w:rsid w:val="002E5F45"/>
    <w:rsid w:val="002E79B2"/>
    <w:rsid w:val="002E7FAA"/>
    <w:rsid w:val="002F0690"/>
    <w:rsid w:val="002F1231"/>
    <w:rsid w:val="002F29F0"/>
    <w:rsid w:val="002F2C1A"/>
    <w:rsid w:val="002F327E"/>
    <w:rsid w:val="002F3AC0"/>
    <w:rsid w:val="002F492B"/>
    <w:rsid w:val="002F4AA0"/>
    <w:rsid w:val="00301B82"/>
    <w:rsid w:val="00303171"/>
    <w:rsid w:val="003060C8"/>
    <w:rsid w:val="003077EB"/>
    <w:rsid w:val="0031079A"/>
    <w:rsid w:val="00313E82"/>
    <w:rsid w:val="00332EB9"/>
    <w:rsid w:val="0033464D"/>
    <w:rsid w:val="00336C90"/>
    <w:rsid w:val="00341C90"/>
    <w:rsid w:val="0034215F"/>
    <w:rsid w:val="00342345"/>
    <w:rsid w:val="0034470D"/>
    <w:rsid w:val="00350DF1"/>
    <w:rsid w:val="00352B96"/>
    <w:rsid w:val="0035402D"/>
    <w:rsid w:val="00357999"/>
    <w:rsid w:val="00360880"/>
    <w:rsid w:val="00361B15"/>
    <w:rsid w:val="00362DCD"/>
    <w:rsid w:val="00364DAE"/>
    <w:rsid w:val="00365357"/>
    <w:rsid w:val="00371C24"/>
    <w:rsid w:val="0037232F"/>
    <w:rsid w:val="0037694B"/>
    <w:rsid w:val="00380FCA"/>
    <w:rsid w:val="00381A65"/>
    <w:rsid w:val="00382BEE"/>
    <w:rsid w:val="00382E37"/>
    <w:rsid w:val="00383AB7"/>
    <w:rsid w:val="00384752"/>
    <w:rsid w:val="003868F6"/>
    <w:rsid w:val="003878BF"/>
    <w:rsid w:val="00397E27"/>
    <w:rsid w:val="003A1007"/>
    <w:rsid w:val="003A2532"/>
    <w:rsid w:val="003A311D"/>
    <w:rsid w:val="003A3A61"/>
    <w:rsid w:val="003A5EE3"/>
    <w:rsid w:val="003A6905"/>
    <w:rsid w:val="003B7DE9"/>
    <w:rsid w:val="003C0919"/>
    <w:rsid w:val="003C1182"/>
    <w:rsid w:val="003C1CF6"/>
    <w:rsid w:val="003C23EE"/>
    <w:rsid w:val="003C458B"/>
    <w:rsid w:val="003C574E"/>
    <w:rsid w:val="003D0D88"/>
    <w:rsid w:val="003D2F40"/>
    <w:rsid w:val="003D5210"/>
    <w:rsid w:val="003E2BC5"/>
    <w:rsid w:val="003E3841"/>
    <w:rsid w:val="003E48F5"/>
    <w:rsid w:val="003F1859"/>
    <w:rsid w:val="003F347C"/>
    <w:rsid w:val="003F5236"/>
    <w:rsid w:val="003F5907"/>
    <w:rsid w:val="003F5B1F"/>
    <w:rsid w:val="003F6140"/>
    <w:rsid w:val="004037BA"/>
    <w:rsid w:val="00406924"/>
    <w:rsid w:val="00411E53"/>
    <w:rsid w:val="00412409"/>
    <w:rsid w:val="00413E0F"/>
    <w:rsid w:val="0041413F"/>
    <w:rsid w:val="0041614F"/>
    <w:rsid w:val="00420FC9"/>
    <w:rsid w:val="004241D5"/>
    <w:rsid w:val="00424801"/>
    <w:rsid w:val="0042786E"/>
    <w:rsid w:val="0043013A"/>
    <w:rsid w:val="00436394"/>
    <w:rsid w:val="00437073"/>
    <w:rsid w:val="00437BAF"/>
    <w:rsid w:val="00440086"/>
    <w:rsid w:val="004406BC"/>
    <w:rsid w:val="00440A2F"/>
    <w:rsid w:val="0044383A"/>
    <w:rsid w:val="00443A64"/>
    <w:rsid w:val="0045117D"/>
    <w:rsid w:val="00451BCF"/>
    <w:rsid w:val="004520B3"/>
    <w:rsid w:val="004535DD"/>
    <w:rsid w:val="00462781"/>
    <w:rsid w:val="00465010"/>
    <w:rsid w:val="0046537D"/>
    <w:rsid w:val="00465E1F"/>
    <w:rsid w:val="004667F7"/>
    <w:rsid w:val="00471B6A"/>
    <w:rsid w:val="00472A95"/>
    <w:rsid w:val="004737CD"/>
    <w:rsid w:val="00474D87"/>
    <w:rsid w:val="00477C1A"/>
    <w:rsid w:val="004804D4"/>
    <w:rsid w:val="004805C0"/>
    <w:rsid w:val="00481856"/>
    <w:rsid w:val="00484ADB"/>
    <w:rsid w:val="004901AD"/>
    <w:rsid w:val="00494E8B"/>
    <w:rsid w:val="0049538B"/>
    <w:rsid w:val="004965B9"/>
    <w:rsid w:val="00496874"/>
    <w:rsid w:val="004A152C"/>
    <w:rsid w:val="004A28A3"/>
    <w:rsid w:val="004A3FAE"/>
    <w:rsid w:val="004A57AC"/>
    <w:rsid w:val="004B150C"/>
    <w:rsid w:val="004B2752"/>
    <w:rsid w:val="004B32B2"/>
    <w:rsid w:val="004B5875"/>
    <w:rsid w:val="004B5CD8"/>
    <w:rsid w:val="004B6A07"/>
    <w:rsid w:val="004C0BC5"/>
    <w:rsid w:val="004C0BD1"/>
    <w:rsid w:val="004C227F"/>
    <w:rsid w:val="004C5E9D"/>
    <w:rsid w:val="004D16A6"/>
    <w:rsid w:val="004D2683"/>
    <w:rsid w:val="004D376E"/>
    <w:rsid w:val="004D3B9C"/>
    <w:rsid w:val="004D3FA5"/>
    <w:rsid w:val="004E511B"/>
    <w:rsid w:val="004E63B1"/>
    <w:rsid w:val="004F67CA"/>
    <w:rsid w:val="004F7929"/>
    <w:rsid w:val="005035BC"/>
    <w:rsid w:val="005047CF"/>
    <w:rsid w:val="00504DB7"/>
    <w:rsid w:val="00505291"/>
    <w:rsid w:val="0051022E"/>
    <w:rsid w:val="0051288A"/>
    <w:rsid w:val="00512B09"/>
    <w:rsid w:val="00514310"/>
    <w:rsid w:val="00514F34"/>
    <w:rsid w:val="0051589E"/>
    <w:rsid w:val="00515C11"/>
    <w:rsid w:val="005164B9"/>
    <w:rsid w:val="00516A12"/>
    <w:rsid w:val="00521AA6"/>
    <w:rsid w:val="0052568F"/>
    <w:rsid w:val="00533E84"/>
    <w:rsid w:val="005343D2"/>
    <w:rsid w:val="00535E3B"/>
    <w:rsid w:val="00536468"/>
    <w:rsid w:val="005367EE"/>
    <w:rsid w:val="00541C84"/>
    <w:rsid w:val="005503A5"/>
    <w:rsid w:val="0055260A"/>
    <w:rsid w:val="005550A9"/>
    <w:rsid w:val="00556FA6"/>
    <w:rsid w:val="00560090"/>
    <w:rsid w:val="005603DB"/>
    <w:rsid w:val="00561133"/>
    <w:rsid w:val="005614EE"/>
    <w:rsid w:val="005708EB"/>
    <w:rsid w:val="00572271"/>
    <w:rsid w:val="0057259A"/>
    <w:rsid w:val="0057342F"/>
    <w:rsid w:val="00581954"/>
    <w:rsid w:val="005825EC"/>
    <w:rsid w:val="00583123"/>
    <w:rsid w:val="00584756"/>
    <w:rsid w:val="0059142C"/>
    <w:rsid w:val="0059225D"/>
    <w:rsid w:val="005A071B"/>
    <w:rsid w:val="005A15DA"/>
    <w:rsid w:val="005A7392"/>
    <w:rsid w:val="005A73C4"/>
    <w:rsid w:val="005A7D61"/>
    <w:rsid w:val="005B3943"/>
    <w:rsid w:val="005B3D56"/>
    <w:rsid w:val="005B6A5D"/>
    <w:rsid w:val="005B7E56"/>
    <w:rsid w:val="005C021A"/>
    <w:rsid w:val="005C323E"/>
    <w:rsid w:val="005C4B95"/>
    <w:rsid w:val="005D01AA"/>
    <w:rsid w:val="005D0A84"/>
    <w:rsid w:val="005D32C2"/>
    <w:rsid w:val="005D415D"/>
    <w:rsid w:val="005E5D59"/>
    <w:rsid w:val="005F3D0F"/>
    <w:rsid w:val="005F5698"/>
    <w:rsid w:val="005F6988"/>
    <w:rsid w:val="005F6ADD"/>
    <w:rsid w:val="00603A47"/>
    <w:rsid w:val="00604F16"/>
    <w:rsid w:val="006050A7"/>
    <w:rsid w:val="006118B7"/>
    <w:rsid w:val="00613F10"/>
    <w:rsid w:val="00621F1F"/>
    <w:rsid w:val="006226C3"/>
    <w:rsid w:val="00626BA0"/>
    <w:rsid w:val="006274B8"/>
    <w:rsid w:val="0063170C"/>
    <w:rsid w:val="00632D2B"/>
    <w:rsid w:val="006404D6"/>
    <w:rsid w:val="006412C7"/>
    <w:rsid w:val="00641CF9"/>
    <w:rsid w:val="00642819"/>
    <w:rsid w:val="00644982"/>
    <w:rsid w:val="00644F4F"/>
    <w:rsid w:val="006473BB"/>
    <w:rsid w:val="00647401"/>
    <w:rsid w:val="0065161A"/>
    <w:rsid w:val="00653072"/>
    <w:rsid w:val="00660302"/>
    <w:rsid w:val="00663EBA"/>
    <w:rsid w:val="00665C30"/>
    <w:rsid w:val="00670506"/>
    <w:rsid w:val="0067428A"/>
    <w:rsid w:val="00674680"/>
    <w:rsid w:val="006751F1"/>
    <w:rsid w:val="006753CD"/>
    <w:rsid w:val="00681015"/>
    <w:rsid w:val="0068119F"/>
    <w:rsid w:val="00686959"/>
    <w:rsid w:val="006914A5"/>
    <w:rsid w:val="006918B7"/>
    <w:rsid w:val="00692326"/>
    <w:rsid w:val="00692338"/>
    <w:rsid w:val="00693A14"/>
    <w:rsid w:val="006945D4"/>
    <w:rsid w:val="00695008"/>
    <w:rsid w:val="006A0258"/>
    <w:rsid w:val="006A0A91"/>
    <w:rsid w:val="006A328E"/>
    <w:rsid w:val="006A425B"/>
    <w:rsid w:val="006A69E2"/>
    <w:rsid w:val="006A79AF"/>
    <w:rsid w:val="006B031F"/>
    <w:rsid w:val="006B1231"/>
    <w:rsid w:val="006B2B42"/>
    <w:rsid w:val="006B675D"/>
    <w:rsid w:val="006C267E"/>
    <w:rsid w:val="006C4B63"/>
    <w:rsid w:val="006C4BA3"/>
    <w:rsid w:val="006D0B6C"/>
    <w:rsid w:val="006D11B9"/>
    <w:rsid w:val="006D342D"/>
    <w:rsid w:val="006D3438"/>
    <w:rsid w:val="006D3BA1"/>
    <w:rsid w:val="006D4E0F"/>
    <w:rsid w:val="006D542F"/>
    <w:rsid w:val="006D6F8A"/>
    <w:rsid w:val="006D760E"/>
    <w:rsid w:val="006E1BA7"/>
    <w:rsid w:val="006E20F8"/>
    <w:rsid w:val="006E391A"/>
    <w:rsid w:val="006E609B"/>
    <w:rsid w:val="006E7A2A"/>
    <w:rsid w:val="006F507B"/>
    <w:rsid w:val="006F52DE"/>
    <w:rsid w:val="006F6913"/>
    <w:rsid w:val="0070077C"/>
    <w:rsid w:val="0070248B"/>
    <w:rsid w:val="00703629"/>
    <w:rsid w:val="0070367B"/>
    <w:rsid w:val="00705C63"/>
    <w:rsid w:val="00712480"/>
    <w:rsid w:val="00713DB4"/>
    <w:rsid w:val="00720AB6"/>
    <w:rsid w:val="0072241F"/>
    <w:rsid w:val="00726B3C"/>
    <w:rsid w:val="007305EC"/>
    <w:rsid w:val="007337CE"/>
    <w:rsid w:val="00733E7D"/>
    <w:rsid w:val="00735BD7"/>
    <w:rsid w:val="007376A8"/>
    <w:rsid w:val="00737F02"/>
    <w:rsid w:val="00740D6B"/>
    <w:rsid w:val="00741843"/>
    <w:rsid w:val="007465F5"/>
    <w:rsid w:val="00750D9D"/>
    <w:rsid w:val="00751336"/>
    <w:rsid w:val="00752013"/>
    <w:rsid w:val="00752C99"/>
    <w:rsid w:val="00756D98"/>
    <w:rsid w:val="0075709E"/>
    <w:rsid w:val="007608FC"/>
    <w:rsid w:val="007609AC"/>
    <w:rsid w:val="0076100C"/>
    <w:rsid w:val="00761752"/>
    <w:rsid w:val="00762E9F"/>
    <w:rsid w:val="007673F5"/>
    <w:rsid w:val="00767AE6"/>
    <w:rsid w:val="00770201"/>
    <w:rsid w:val="0077274A"/>
    <w:rsid w:val="007737DF"/>
    <w:rsid w:val="00775215"/>
    <w:rsid w:val="007773F9"/>
    <w:rsid w:val="00780ABE"/>
    <w:rsid w:val="007849D8"/>
    <w:rsid w:val="00785AF9"/>
    <w:rsid w:val="00795440"/>
    <w:rsid w:val="007A01DC"/>
    <w:rsid w:val="007A1934"/>
    <w:rsid w:val="007A19B9"/>
    <w:rsid w:val="007A21F0"/>
    <w:rsid w:val="007A341E"/>
    <w:rsid w:val="007A348A"/>
    <w:rsid w:val="007A3998"/>
    <w:rsid w:val="007A39E1"/>
    <w:rsid w:val="007A4170"/>
    <w:rsid w:val="007A5025"/>
    <w:rsid w:val="007A6330"/>
    <w:rsid w:val="007A63BB"/>
    <w:rsid w:val="007B56C9"/>
    <w:rsid w:val="007B78B9"/>
    <w:rsid w:val="007B7CBA"/>
    <w:rsid w:val="007C1826"/>
    <w:rsid w:val="007C5132"/>
    <w:rsid w:val="007C5B2D"/>
    <w:rsid w:val="007D02A8"/>
    <w:rsid w:val="007D058F"/>
    <w:rsid w:val="007D2201"/>
    <w:rsid w:val="007D6764"/>
    <w:rsid w:val="007E115D"/>
    <w:rsid w:val="007E3185"/>
    <w:rsid w:val="007E4E29"/>
    <w:rsid w:val="007E6897"/>
    <w:rsid w:val="007E691F"/>
    <w:rsid w:val="007F2233"/>
    <w:rsid w:val="007F25CF"/>
    <w:rsid w:val="007F4A17"/>
    <w:rsid w:val="007F5001"/>
    <w:rsid w:val="007F568A"/>
    <w:rsid w:val="00802F36"/>
    <w:rsid w:val="008045E0"/>
    <w:rsid w:val="00804D09"/>
    <w:rsid w:val="00805A75"/>
    <w:rsid w:val="00805C0A"/>
    <w:rsid w:val="00806545"/>
    <w:rsid w:val="008110A6"/>
    <w:rsid w:val="008112F1"/>
    <w:rsid w:val="00811B95"/>
    <w:rsid w:val="00813709"/>
    <w:rsid w:val="00815FD8"/>
    <w:rsid w:val="008178C7"/>
    <w:rsid w:val="00820459"/>
    <w:rsid w:val="00822488"/>
    <w:rsid w:val="00822CE2"/>
    <w:rsid w:val="0082745E"/>
    <w:rsid w:val="008325BD"/>
    <w:rsid w:val="00832EA0"/>
    <w:rsid w:val="00835C55"/>
    <w:rsid w:val="008361DA"/>
    <w:rsid w:val="00836D44"/>
    <w:rsid w:val="00836F0C"/>
    <w:rsid w:val="00837B68"/>
    <w:rsid w:val="008448B8"/>
    <w:rsid w:val="008509F8"/>
    <w:rsid w:val="008532A4"/>
    <w:rsid w:val="00854F6B"/>
    <w:rsid w:val="00855872"/>
    <w:rsid w:val="00856A4D"/>
    <w:rsid w:val="00856CA0"/>
    <w:rsid w:val="0085798F"/>
    <w:rsid w:val="00861B7B"/>
    <w:rsid w:val="008638D3"/>
    <w:rsid w:val="00864240"/>
    <w:rsid w:val="00864386"/>
    <w:rsid w:val="008719EE"/>
    <w:rsid w:val="0087232D"/>
    <w:rsid w:val="0087304F"/>
    <w:rsid w:val="00876D96"/>
    <w:rsid w:val="00877A31"/>
    <w:rsid w:val="0088079F"/>
    <w:rsid w:val="008828C9"/>
    <w:rsid w:val="0088340D"/>
    <w:rsid w:val="00887C97"/>
    <w:rsid w:val="00891485"/>
    <w:rsid w:val="00892857"/>
    <w:rsid w:val="008940E1"/>
    <w:rsid w:val="008942AC"/>
    <w:rsid w:val="008942DE"/>
    <w:rsid w:val="00894758"/>
    <w:rsid w:val="008A0376"/>
    <w:rsid w:val="008A1353"/>
    <w:rsid w:val="008A4764"/>
    <w:rsid w:val="008A6077"/>
    <w:rsid w:val="008A6B82"/>
    <w:rsid w:val="008B3E3A"/>
    <w:rsid w:val="008B6F5B"/>
    <w:rsid w:val="008B7B0B"/>
    <w:rsid w:val="008C0A98"/>
    <w:rsid w:val="008C1E21"/>
    <w:rsid w:val="008C4615"/>
    <w:rsid w:val="008C4CFF"/>
    <w:rsid w:val="008C56F9"/>
    <w:rsid w:val="008C768F"/>
    <w:rsid w:val="008D4042"/>
    <w:rsid w:val="008D7A73"/>
    <w:rsid w:val="008E0BE8"/>
    <w:rsid w:val="008E204B"/>
    <w:rsid w:val="008E4AEB"/>
    <w:rsid w:val="008E62AD"/>
    <w:rsid w:val="008F0D88"/>
    <w:rsid w:val="008F22DB"/>
    <w:rsid w:val="008F2B09"/>
    <w:rsid w:val="00901329"/>
    <w:rsid w:val="00903188"/>
    <w:rsid w:val="00903BD2"/>
    <w:rsid w:val="00904794"/>
    <w:rsid w:val="00904FD8"/>
    <w:rsid w:val="009058C8"/>
    <w:rsid w:val="00906269"/>
    <w:rsid w:val="009077A7"/>
    <w:rsid w:val="00911C7E"/>
    <w:rsid w:val="00913199"/>
    <w:rsid w:val="0091365D"/>
    <w:rsid w:val="0091385C"/>
    <w:rsid w:val="00913BD0"/>
    <w:rsid w:val="009143E0"/>
    <w:rsid w:val="00915306"/>
    <w:rsid w:val="0092327A"/>
    <w:rsid w:val="00924390"/>
    <w:rsid w:val="00924671"/>
    <w:rsid w:val="00930620"/>
    <w:rsid w:val="00931B6A"/>
    <w:rsid w:val="00934360"/>
    <w:rsid w:val="00940D69"/>
    <w:rsid w:val="009442BC"/>
    <w:rsid w:val="00946DF0"/>
    <w:rsid w:val="0094763D"/>
    <w:rsid w:val="00947668"/>
    <w:rsid w:val="0094791D"/>
    <w:rsid w:val="0095003F"/>
    <w:rsid w:val="00951556"/>
    <w:rsid w:val="00951EFD"/>
    <w:rsid w:val="00953F1E"/>
    <w:rsid w:val="0095533C"/>
    <w:rsid w:val="009557EE"/>
    <w:rsid w:val="00956EAF"/>
    <w:rsid w:val="00957ED8"/>
    <w:rsid w:val="00960195"/>
    <w:rsid w:val="0096282C"/>
    <w:rsid w:val="009637D1"/>
    <w:rsid w:val="0097151F"/>
    <w:rsid w:val="0097199B"/>
    <w:rsid w:val="00972654"/>
    <w:rsid w:val="00973D80"/>
    <w:rsid w:val="0097444B"/>
    <w:rsid w:val="0098002F"/>
    <w:rsid w:val="00980427"/>
    <w:rsid w:val="009873B6"/>
    <w:rsid w:val="0099019C"/>
    <w:rsid w:val="00990D65"/>
    <w:rsid w:val="00991939"/>
    <w:rsid w:val="00992F84"/>
    <w:rsid w:val="009955E6"/>
    <w:rsid w:val="0099583B"/>
    <w:rsid w:val="0099641E"/>
    <w:rsid w:val="00996B1A"/>
    <w:rsid w:val="00997F19"/>
    <w:rsid w:val="009A307D"/>
    <w:rsid w:val="009A4DB5"/>
    <w:rsid w:val="009A60E3"/>
    <w:rsid w:val="009B1722"/>
    <w:rsid w:val="009B33C6"/>
    <w:rsid w:val="009B34DF"/>
    <w:rsid w:val="009B54C2"/>
    <w:rsid w:val="009C38ED"/>
    <w:rsid w:val="009C597F"/>
    <w:rsid w:val="009D4AED"/>
    <w:rsid w:val="009D59BC"/>
    <w:rsid w:val="009E0192"/>
    <w:rsid w:val="009E0203"/>
    <w:rsid w:val="009E1556"/>
    <w:rsid w:val="009E2B1D"/>
    <w:rsid w:val="009E42D8"/>
    <w:rsid w:val="009E5256"/>
    <w:rsid w:val="009E5A10"/>
    <w:rsid w:val="009F216A"/>
    <w:rsid w:val="009F267B"/>
    <w:rsid w:val="009F5CFD"/>
    <w:rsid w:val="00A03687"/>
    <w:rsid w:val="00A0392B"/>
    <w:rsid w:val="00A10197"/>
    <w:rsid w:val="00A11CC1"/>
    <w:rsid w:val="00A131E4"/>
    <w:rsid w:val="00A13A93"/>
    <w:rsid w:val="00A141F3"/>
    <w:rsid w:val="00A17EF2"/>
    <w:rsid w:val="00A20CD5"/>
    <w:rsid w:val="00A228FD"/>
    <w:rsid w:val="00A23EDD"/>
    <w:rsid w:val="00A25490"/>
    <w:rsid w:val="00A31CD4"/>
    <w:rsid w:val="00A333CD"/>
    <w:rsid w:val="00A33D7B"/>
    <w:rsid w:val="00A34426"/>
    <w:rsid w:val="00A34F3C"/>
    <w:rsid w:val="00A47F2C"/>
    <w:rsid w:val="00A51524"/>
    <w:rsid w:val="00A51853"/>
    <w:rsid w:val="00A51C84"/>
    <w:rsid w:val="00A62007"/>
    <w:rsid w:val="00A635D9"/>
    <w:rsid w:val="00A64D50"/>
    <w:rsid w:val="00A65442"/>
    <w:rsid w:val="00A65899"/>
    <w:rsid w:val="00A71893"/>
    <w:rsid w:val="00A72C09"/>
    <w:rsid w:val="00A7355B"/>
    <w:rsid w:val="00A76231"/>
    <w:rsid w:val="00A768F8"/>
    <w:rsid w:val="00A77C33"/>
    <w:rsid w:val="00A81ABD"/>
    <w:rsid w:val="00A81B44"/>
    <w:rsid w:val="00A84FA9"/>
    <w:rsid w:val="00A91263"/>
    <w:rsid w:val="00A915CA"/>
    <w:rsid w:val="00A9760B"/>
    <w:rsid w:val="00A97F1C"/>
    <w:rsid w:val="00AA11C1"/>
    <w:rsid w:val="00AA1853"/>
    <w:rsid w:val="00AA63E5"/>
    <w:rsid w:val="00AA66B6"/>
    <w:rsid w:val="00AB24AC"/>
    <w:rsid w:val="00AB56B5"/>
    <w:rsid w:val="00AB7E09"/>
    <w:rsid w:val="00AC435A"/>
    <w:rsid w:val="00AC4F7D"/>
    <w:rsid w:val="00AC5549"/>
    <w:rsid w:val="00AC77E5"/>
    <w:rsid w:val="00AD447C"/>
    <w:rsid w:val="00AD5059"/>
    <w:rsid w:val="00AD791A"/>
    <w:rsid w:val="00AE1323"/>
    <w:rsid w:val="00AE2D65"/>
    <w:rsid w:val="00AE2E3A"/>
    <w:rsid w:val="00AE7D04"/>
    <w:rsid w:val="00AF0875"/>
    <w:rsid w:val="00AF2848"/>
    <w:rsid w:val="00AF5AAE"/>
    <w:rsid w:val="00AF7ABE"/>
    <w:rsid w:val="00B00957"/>
    <w:rsid w:val="00B00E2D"/>
    <w:rsid w:val="00B0552F"/>
    <w:rsid w:val="00B06260"/>
    <w:rsid w:val="00B1160F"/>
    <w:rsid w:val="00B14657"/>
    <w:rsid w:val="00B17382"/>
    <w:rsid w:val="00B17EBD"/>
    <w:rsid w:val="00B2005A"/>
    <w:rsid w:val="00B214B4"/>
    <w:rsid w:val="00B2204E"/>
    <w:rsid w:val="00B260F1"/>
    <w:rsid w:val="00B26B18"/>
    <w:rsid w:val="00B27516"/>
    <w:rsid w:val="00B308ED"/>
    <w:rsid w:val="00B3170A"/>
    <w:rsid w:val="00B324EF"/>
    <w:rsid w:val="00B450D1"/>
    <w:rsid w:val="00B55C4B"/>
    <w:rsid w:val="00B57CA8"/>
    <w:rsid w:val="00B62242"/>
    <w:rsid w:val="00B62A60"/>
    <w:rsid w:val="00B63277"/>
    <w:rsid w:val="00B644CE"/>
    <w:rsid w:val="00B6474D"/>
    <w:rsid w:val="00B6759A"/>
    <w:rsid w:val="00B717FF"/>
    <w:rsid w:val="00B71D5A"/>
    <w:rsid w:val="00B72713"/>
    <w:rsid w:val="00B73409"/>
    <w:rsid w:val="00B7352F"/>
    <w:rsid w:val="00B74035"/>
    <w:rsid w:val="00B74F76"/>
    <w:rsid w:val="00B801AD"/>
    <w:rsid w:val="00B852EC"/>
    <w:rsid w:val="00B875FA"/>
    <w:rsid w:val="00B946E0"/>
    <w:rsid w:val="00B95FD1"/>
    <w:rsid w:val="00B977AF"/>
    <w:rsid w:val="00BA2F49"/>
    <w:rsid w:val="00BA6699"/>
    <w:rsid w:val="00BA7069"/>
    <w:rsid w:val="00BB391A"/>
    <w:rsid w:val="00BB3B1B"/>
    <w:rsid w:val="00BB78F4"/>
    <w:rsid w:val="00BC4D46"/>
    <w:rsid w:val="00BC7CA3"/>
    <w:rsid w:val="00BD36AE"/>
    <w:rsid w:val="00BD58E9"/>
    <w:rsid w:val="00BD61BA"/>
    <w:rsid w:val="00BE1C15"/>
    <w:rsid w:val="00BE3467"/>
    <w:rsid w:val="00BE6168"/>
    <w:rsid w:val="00BF2A62"/>
    <w:rsid w:val="00BF47C0"/>
    <w:rsid w:val="00BF4FF8"/>
    <w:rsid w:val="00C076C3"/>
    <w:rsid w:val="00C12A97"/>
    <w:rsid w:val="00C14734"/>
    <w:rsid w:val="00C16A13"/>
    <w:rsid w:val="00C16A71"/>
    <w:rsid w:val="00C16B4F"/>
    <w:rsid w:val="00C1773F"/>
    <w:rsid w:val="00C21F31"/>
    <w:rsid w:val="00C278D6"/>
    <w:rsid w:val="00C27CAD"/>
    <w:rsid w:val="00C33EEB"/>
    <w:rsid w:val="00C36665"/>
    <w:rsid w:val="00C37066"/>
    <w:rsid w:val="00C37116"/>
    <w:rsid w:val="00C40AC8"/>
    <w:rsid w:val="00C432AC"/>
    <w:rsid w:val="00C50E6E"/>
    <w:rsid w:val="00C51C02"/>
    <w:rsid w:val="00C51C81"/>
    <w:rsid w:val="00C52A7F"/>
    <w:rsid w:val="00C5474F"/>
    <w:rsid w:val="00C55AC6"/>
    <w:rsid w:val="00C55D74"/>
    <w:rsid w:val="00C60046"/>
    <w:rsid w:val="00C63278"/>
    <w:rsid w:val="00C706D6"/>
    <w:rsid w:val="00C72E0D"/>
    <w:rsid w:val="00C7554E"/>
    <w:rsid w:val="00C76075"/>
    <w:rsid w:val="00C802AE"/>
    <w:rsid w:val="00C84F93"/>
    <w:rsid w:val="00C85945"/>
    <w:rsid w:val="00C9159D"/>
    <w:rsid w:val="00C91A82"/>
    <w:rsid w:val="00C92309"/>
    <w:rsid w:val="00C931C4"/>
    <w:rsid w:val="00C940D5"/>
    <w:rsid w:val="00C94755"/>
    <w:rsid w:val="00CA0C1F"/>
    <w:rsid w:val="00CA1A12"/>
    <w:rsid w:val="00CA3129"/>
    <w:rsid w:val="00CA3BAB"/>
    <w:rsid w:val="00CA43F9"/>
    <w:rsid w:val="00CA643E"/>
    <w:rsid w:val="00CB1DDC"/>
    <w:rsid w:val="00CB3440"/>
    <w:rsid w:val="00CC0BD0"/>
    <w:rsid w:val="00CD04C3"/>
    <w:rsid w:val="00CD37FD"/>
    <w:rsid w:val="00CD399D"/>
    <w:rsid w:val="00CD63E9"/>
    <w:rsid w:val="00CD774E"/>
    <w:rsid w:val="00CD7B5E"/>
    <w:rsid w:val="00CE5DB9"/>
    <w:rsid w:val="00CE6AA4"/>
    <w:rsid w:val="00CF3582"/>
    <w:rsid w:val="00CF35DB"/>
    <w:rsid w:val="00CF3F8F"/>
    <w:rsid w:val="00CF488A"/>
    <w:rsid w:val="00CF5D55"/>
    <w:rsid w:val="00CF629F"/>
    <w:rsid w:val="00D03594"/>
    <w:rsid w:val="00D04214"/>
    <w:rsid w:val="00D102B8"/>
    <w:rsid w:val="00D1210A"/>
    <w:rsid w:val="00D131DD"/>
    <w:rsid w:val="00D13A2B"/>
    <w:rsid w:val="00D149F7"/>
    <w:rsid w:val="00D15D72"/>
    <w:rsid w:val="00D17181"/>
    <w:rsid w:val="00D172C4"/>
    <w:rsid w:val="00D21442"/>
    <w:rsid w:val="00D21C89"/>
    <w:rsid w:val="00D23B74"/>
    <w:rsid w:val="00D2482C"/>
    <w:rsid w:val="00D3048C"/>
    <w:rsid w:val="00D3056C"/>
    <w:rsid w:val="00D321B4"/>
    <w:rsid w:val="00D3255C"/>
    <w:rsid w:val="00D3680C"/>
    <w:rsid w:val="00D417AC"/>
    <w:rsid w:val="00D43954"/>
    <w:rsid w:val="00D444A3"/>
    <w:rsid w:val="00D458B5"/>
    <w:rsid w:val="00D478CC"/>
    <w:rsid w:val="00D54DF7"/>
    <w:rsid w:val="00D55C2A"/>
    <w:rsid w:val="00D579D9"/>
    <w:rsid w:val="00D61D70"/>
    <w:rsid w:val="00D629ED"/>
    <w:rsid w:val="00D667C2"/>
    <w:rsid w:val="00D70B8C"/>
    <w:rsid w:val="00D730A5"/>
    <w:rsid w:val="00D81447"/>
    <w:rsid w:val="00D825E9"/>
    <w:rsid w:val="00D84A8D"/>
    <w:rsid w:val="00D85C3C"/>
    <w:rsid w:val="00D92309"/>
    <w:rsid w:val="00D92338"/>
    <w:rsid w:val="00D958AC"/>
    <w:rsid w:val="00D96963"/>
    <w:rsid w:val="00DA046D"/>
    <w:rsid w:val="00DA0631"/>
    <w:rsid w:val="00DA131E"/>
    <w:rsid w:val="00DA3203"/>
    <w:rsid w:val="00DA45CB"/>
    <w:rsid w:val="00DA4FF8"/>
    <w:rsid w:val="00DA7CE0"/>
    <w:rsid w:val="00DB1592"/>
    <w:rsid w:val="00DB2938"/>
    <w:rsid w:val="00DB3068"/>
    <w:rsid w:val="00DC0398"/>
    <w:rsid w:val="00DC1390"/>
    <w:rsid w:val="00DC3E76"/>
    <w:rsid w:val="00DD10CA"/>
    <w:rsid w:val="00DD15C7"/>
    <w:rsid w:val="00DD53AD"/>
    <w:rsid w:val="00DD604E"/>
    <w:rsid w:val="00DE2F11"/>
    <w:rsid w:val="00DE33F4"/>
    <w:rsid w:val="00DF110D"/>
    <w:rsid w:val="00DF6561"/>
    <w:rsid w:val="00DF7B79"/>
    <w:rsid w:val="00E03C5F"/>
    <w:rsid w:val="00E05A2F"/>
    <w:rsid w:val="00E05C21"/>
    <w:rsid w:val="00E10733"/>
    <w:rsid w:val="00E10898"/>
    <w:rsid w:val="00E11F23"/>
    <w:rsid w:val="00E14BE1"/>
    <w:rsid w:val="00E163BA"/>
    <w:rsid w:val="00E17EA5"/>
    <w:rsid w:val="00E27EB2"/>
    <w:rsid w:val="00E303D8"/>
    <w:rsid w:val="00E3044F"/>
    <w:rsid w:val="00E31FAC"/>
    <w:rsid w:val="00E33049"/>
    <w:rsid w:val="00E376F6"/>
    <w:rsid w:val="00E43436"/>
    <w:rsid w:val="00E45E1C"/>
    <w:rsid w:val="00E4785A"/>
    <w:rsid w:val="00E52C44"/>
    <w:rsid w:val="00E5420C"/>
    <w:rsid w:val="00E57525"/>
    <w:rsid w:val="00E600F6"/>
    <w:rsid w:val="00E6324D"/>
    <w:rsid w:val="00E6365C"/>
    <w:rsid w:val="00E65247"/>
    <w:rsid w:val="00E6555C"/>
    <w:rsid w:val="00E662D5"/>
    <w:rsid w:val="00E7128B"/>
    <w:rsid w:val="00E7298F"/>
    <w:rsid w:val="00E73F8C"/>
    <w:rsid w:val="00E75E32"/>
    <w:rsid w:val="00E90098"/>
    <w:rsid w:val="00E91D8A"/>
    <w:rsid w:val="00E92981"/>
    <w:rsid w:val="00E94481"/>
    <w:rsid w:val="00E94ACB"/>
    <w:rsid w:val="00E95C8A"/>
    <w:rsid w:val="00EA0555"/>
    <w:rsid w:val="00EA3A52"/>
    <w:rsid w:val="00EA4E15"/>
    <w:rsid w:val="00EA7733"/>
    <w:rsid w:val="00EB1F37"/>
    <w:rsid w:val="00EB4259"/>
    <w:rsid w:val="00EB6024"/>
    <w:rsid w:val="00EC0507"/>
    <w:rsid w:val="00EC3A8F"/>
    <w:rsid w:val="00EC4533"/>
    <w:rsid w:val="00EC481B"/>
    <w:rsid w:val="00EC4D54"/>
    <w:rsid w:val="00EC6F12"/>
    <w:rsid w:val="00ED0E2F"/>
    <w:rsid w:val="00ED1D3C"/>
    <w:rsid w:val="00ED77B2"/>
    <w:rsid w:val="00ED7E12"/>
    <w:rsid w:val="00EE55E4"/>
    <w:rsid w:val="00EE5921"/>
    <w:rsid w:val="00EE762D"/>
    <w:rsid w:val="00EE7BC2"/>
    <w:rsid w:val="00EF0DEF"/>
    <w:rsid w:val="00EF1197"/>
    <w:rsid w:val="00EF2E4B"/>
    <w:rsid w:val="00EF3F7B"/>
    <w:rsid w:val="00F00E0F"/>
    <w:rsid w:val="00F01C3F"/>
    <w:rsid w:val="00F01EEC"/>
    <w:rsid w:val="00F051D0"/>
    <w:rsid w:val="00F05E49"/>
    <w:rsid w:val="00F07213"/>
    <w:rsid w:val="00F14A7A"/>
    <w:rsid w:val="00F16511"/>
    <w:rsid w:val="00F21293"/>
    <w:rsid w:val="00F246FD"/>
    <w:rsid w:val="00F258F6"/>
    <w:rsid w:val="00F271FD"/>
    <w:rsid w:val="00F31AA9"/>
    <w:rsid w:val="00F326FC"/>
    <w:rsid w:val="00F3380B"/>
    <w:rsid w:val="00F35AC6"/>
    <w:rsid w:val="00F37C10"/>
    <w:rsid w:val="00F4293A"/>
    <w:rsid w:val="00F445EB"/>
    <w:rsid w:val="00F461C0"/>
    <w:rsid w:val="00F47838"/>
    <w:rsid w:val="00F4793D"/>
    <w:rsid w:val="00F51398"/>
    <w:rsid w:val="00F51E97"/>
    <w:rsid w:val="00F52EE0"/>
    <w:rsid w:val="00F53520"/>
    <w:rsid w:val="00F6028C"/>
    <w:rsid w:val="00F668A2"/>
    <w:rsid w:val="00F700E6"/>
    <w:rsid w:val="00F70F71"/>
    <w:rsid w:val="00F70FDD"/>
    <w:rsid w:val="00F71529"/>
    <w:rsid w:val="00F717C3"/>
    <w:rsid w:val="00F72006"/>
    <w:rsid w:val="00F72E8C"/>
    <w:rsid w:val="00F81CF3"/>
    <w:rsid w:val="00F82540"/>
    <w:rsid w:val="00F82F43"/>
    <w:rsid w:val="00F850ED"/>
    <w:rsid w:val="00F853B0"/>
    <w:rsid w:val="00F91568"/>
    <w:rsid w:val="00F95B1C"/>
    <w:rsid w:val="00F96583"/>
    <w:rsid w:val="00FA4133"/>
    <w:rsid w:val="00FA49F0"/>
    <w:rsid w:val="00FA5DEC"/>
    <w:rsid w:val="00FA6FB3"/>
    <w:rsid w:val="00FB277F"/>
    <w:rsid w:val="00FB7482"/>
    <w:rsid w:val="00FC351A"/>
    <w:rsid w:val="00FD3BC4"/>
    <w:rsid w:val="00FD67EA"/>
    <w:rsid w:val="00FD6F3F"/>
    <w:rsid w:val="00FE1598"/>
    <w:rsid w:val="00FE60BD"/>
    <w:rsid w:val="00FE67A7"/>
    <w:rsid w:val="00FF6E61"/>
    <w:rsid w:val="00FF769E"/>
    <w:rsid w:val="00FF7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C83B9"/>
  <w15:chartTrackingRefBased/>
  <w15:docId w15:val="{EC7FC4E8-7F97-8142-A8A8-91FE34BB8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4DF7"/>
    <w:rPr>
      <w:rFonts w:ascii="Arial" w:hAnsi="Arial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2E55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55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555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55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55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55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55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55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55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5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E55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E55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552"/>
    <w:rPr>
      <w:rFonts w:eastAsiaTheme="majorEastAsia" w:cstheme="majorBidi"/>
      <w:i/>
      <w:iCs/>
      <w:color w:val="0F4761" w:themeColor="accent1" w:themeShade="BF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552"/>
    <w:rPr>
      <w:rFonts w:eastAsiaTheme="majorEastAsia" w:cstheme="majorBidi"/>
      <w:color w:val="0F4761" w:themeColor="accent1" w:themeShade="B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552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552"/>
    <w:rPr>
      <w:rFonts w:eastAsiaTheme="majorEastAsia" w:cstheme="majorBid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552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552"/>
    <w:rPr>
      <w:rFonts w:eastAsiaTheme="majorEastAsia" w:cstheme="majorBidi"/>
      <w:color w:val="272727" w:themeColor="text1" w:themeTint="D8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2E555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55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55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55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555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5552"/>
    <w:rPr>
      <w:rFonts w:ascii="Arial" w:hAnsi="Arial"/>
      <w:i/>
      <w:iCs/>
      <w:color w:val="404040" w:themeColor="text1" w:themeTint="BF"/>
      <w:sz w:val="22"/>
    </w:rPr>
  </w:style>
  <w:style w:type="paragraph" w:styleId="ListParagraph">
    <w:name w:val="List Paragraph"/>
    <w:basedOn w:val="Normal"/>
    <w:uiPriority w:val="34"/>
    <w:qFormat/>
    <w:rsid w:val="002E55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5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5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552"/>
    <w:rPr>
      <w:rFonts w:ascii="Arial" w:hAnsi="Arial"/>
      <w:i/>
      <w:iCs/>
      <w:color w:val="0F4761" w:themeColor="accent1" w:themeShade="BF"/>
      <w:sz w:val="22"/>
    </w:rPr>
  </w:style>
  <w:style w:type="character" w:styleId="IntenseReference">
    <w:name w:val="Intense Reference"/>
    <w:basedOn w:val="DefaultParagraphFont"/>
    <w:uiPriority w:val="32"/>
    <w:qFormat/>
    <w:rsid w:val="002E555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E5552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E5552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5825E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5825EC"/>
    <w:rPr>
      <w:b/>
      <w:bCs/>
    </w:rPr>
  </w:style>
  <w:style w:type="character" w:styleId="Emphasis">
    <w:name w:val="Emphasis"/>
    <w:basedOn w:val="DefaultParagraphFont"/>
    <w:uiPriority w:val="20"/>
    <w:qFormat/>
    <w:rsid w:val="005825E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newtbvaccines.org/tb-vaccine-pipeline-term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7</Pages>
  <Words>997</Words>
  <Characters>6185</Characters>
  <Application>Microsoft Office Word</Application>
  <DocSecurity>0</DocSecurity>
  <Lines>213</Lines>
  <Paragraphs>117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 Vitor Perez De Souza, Ph.D.</dc:creator>
  <cp:keywords/>
  <dc:description/>
  <cp:lastModifiedBy>Joao Vitor Perez De Souza, Ph.D.</cp:lastModifiedBy>
  <cp:revision>1</cp:revision>
  <dcterms:created xsi:type="dcterms:W3CDTF">2026-03-27T16:52:00Z</dcterms:created>
  <dcterms:modified xsi:type="dcterms:W3CDTF">2026-03-27T18:05:00Z</dcterms:modified>
</cp:coreProperties>
</file>