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Insomnia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ISI / PSQI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Insomnia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Insomnia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ISI / PSQI severity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diary: SOL, WASO, TST, SE (2 weeks)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Diary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Hyperarousal assessment (PSAS, FIRST)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Arousal Scales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Actigraphy / sleep study findings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Actigraphy / PSG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Psychiatric comorbidity (PHQ-9, GAD-7)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Circadian preference (MEQ, dim-light melatonin)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Chronotype Assessment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Paradoxical insomnia / sleep misperception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Insomnia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Difficulty initiating sleep, prolonged SOL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Sleep-Onset (SO)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Frequent night wakings, difficulty returning to sleep (WASO)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Maintenance (MA)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MA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Early morning awakening, unable to return to sleep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Early-Morning (EM)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Physiological and cognitive hyperarousal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Hyperarousal (HY)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Insomnia secondary to psychiatric disorder (depression/anxiety)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Psychiatric (PS)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state misperception, paradoxical insomnia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Paradoxical (PA)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Circadian rhythm disruption, phase delay/advance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Circadian (CI)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CI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SO  □ MA  □ EM  □ HY  □ PS  □ PA  □ CI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(hyperarousal)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 cathodal)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 cathodal)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+ Limbic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(perception)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Hypothalamic-SCN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Sleep-Onset / Maintenance (SO / 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cathodal arousal reduction (SO/HY)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anodal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SN/dACC downregulation (HY/MA)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psychiatric comorbidity (PS)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Hyperarousal / Psychophysiological (HY / PS)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Frontal delta/slow-wave induction (SO/MA)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modulation early-morning (EM)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Early-Morning / Paradoxical / Circadian (EM / PA / CI)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frontal relaxation (HY/PA)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anodal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antidepressant for PS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Insomnia.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cathodal arousal suppression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SO, HY, MA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SN/Insula hyperarousal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Limbic-prefrontal (EM/PS)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EM, PS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arousal gating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SO, MA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psychiatric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sleep onset (PA)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Hypothalamic-frontal circadian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CI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frontal arousal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 / severe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insomnia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chronic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Hyperarousal, autonomic activation, sleep-onset difficulty, all insomnia phenotypes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30–45 min pre-sleep,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Insomnia first-line adjunct for all phenotypes — especially HY, SO, PS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pre-sleep daily, Alpha-Stim AID, titrate to sedation response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Sleep-Onset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R-DLPFC cathodal tDCS (pre-sleep, 5×/wk) + CES → Wk 2–6: TPS SN/thalamic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 / MA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Hyperarousal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CES/taVNS stabilization → Wk 2–6: Bilateral DLPFC tDCS + TPS HY circuit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Psychiatric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tDCS + Daily CES → Wk 3–6: TPS L-DLPFC/Limbic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PS / EM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Circadian/Mixed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R-DLPFC cathodal + taVNS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CI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(Sleep-Onset)  □ B (Hyperarousal)  □ C (Psychiatric)  □ D (Circadian/Mixed)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ISI / PSQI / sleep diary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