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Long COVID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Symptom Severity Score / DSQ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Post-COVID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Long COVID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Post-COVID symptom duration and onset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Medical History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/ brain fog assessment (MoCA, COGSTATE)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Neuropsychological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 severity (FSS, MFIS, PEM assessment)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 Scales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Dysautonomia screen (orthostatic HR/BP, COMPASS-31)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Autonomic Assessment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Neuropsychiatric symptoms (PHQ-9, GAD-7, PCL-5)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quality (ISI, PSQI)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Scales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Exercise tolerance / PEM diary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Activity Diary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Long COVID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Brain fog: concentration, memory, processing speed impairment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(CG)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Post-exertional malaise, persistent fatigue, low stamina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 (FA)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POTS, orthostatic intolerance, autonomic dysfunction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Dysautonomia (DA)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Anxiety, depression, PTSD-like features post-COVID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Neuropsychiatric (NP)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NP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New-onset chronic headache or migraine post-COVID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Headache (HA)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Post-exertional intolerance, exercise limitation, PEM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Exercise Intolerance (EI)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EI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disruption, hypersomnia or insomnia post-COVID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(SL)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CG  □ FA  □ DA  □ NP  □ HA  □ EI  □ SL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(bilateral 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(Insula/autonomic cortex)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(dACC/Insula)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+ SMN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(arousal)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 cathodal)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Cognitive / Neuropsychiatric (CG / NP)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brain fog (CG/FA)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R-DLPFC cathodal arousal reduction (SL)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anodal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neuropsychiatric (NP/FA)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Fatigue / Exercise Intolerance (FA / EI)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SN/Insula dysautonomia modulation (DA)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 headache modulation (HA)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Dysautonomia / Headache / Sleep (DA / HA / SL)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fatigue/PEM (EI/FA)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antidepressant (NP-depression)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Long COVID.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brain fog / CEN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CG, FA, NP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cognitive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Insula/SN dysautonomia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 headache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Limbic-prefrontal neuropsychiatric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NP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R-DLPFC cathodal arousal (sleep)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frontal fatigue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FA, EI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+ CEN combined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 / EI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Long COVID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severe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Dysautonomia, fatigue, sleep disruption, neuropsychiatric — all LC phenotypes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daily,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Anxiety, insomnia, neuropsychiatric comorbidity — adjunct to all LC phenotypes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especially NP, SL, FA phenotypes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Brain Fog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L-DLPFC tDCS (5×/wk, low intensity) → Wk 2–6: TPS DLPFC/CEN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 / NP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Fatigue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L-DLPFC tDCS + Daily taVNS → Wk 3–6: TPS frontal fatigue circuit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 / EI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Dysautonomia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CES/taVNS stabilization → Wk 2–6: SN tDCS + TPS Insula/autonomic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 / HA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Mixed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burden) → Maintenance bilateral DLPFC tDCS + taVNS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(Brain Fog/Cognitive)  □ B (Fatigue)  □ C (Dysautonomia)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DSQ / MoCA / FSS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LC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