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Control &amp; Clinical Responsibility</w:t>
      </w:r>
    </w:p>
    <w:p>
      <w:r>
        <w:t>Organization: SOZO Brain Center</w:t>
      </w:r>
    </w:p>
    <w:p>
      <w:pPr>
        <w:pStyle w:val="Heading1"/>
      </w:pPr>
      <w:r>
        <w:t>Stimulation Protocols</w:t>
      </w:r>
    </w:p>
    <w:p>
      <w:r>
        <w:t>All available protocols for [CONDITION NAME].</w:t>
      </w:r>
    </w:p>
    <w:p>
      <w:pPr>
        <w:pStyle w:val="Heading2"/>
      </w:pPr>
      <w:r>
        <w:t>tDCS Protocols</w:t>
      </w:r>
    </w:p>
    <w:p>
      <w:r>
        <w:t>tDCS-specific protocols.</w:t>
      </w:r>
    </w:p>
    <w:p>
      <w:pPr>
        <w:pStyle w:val="Heading2"/>
      </w:pPr>
      <w:r>
        <w:t>TPS Protocols</w:t>
      </w:r>
    </w:p>
    <w:p>
      <w:r>
        <w:t>TPS-specific protocols. OFF-LABEL for most conditions.</w:t>
      </w:r>
    </w:p>
    <w:p>
      <w:pPr>
        <w:pStyle w:val="Heading2"/>
      </w:pPr>
      <w:r>
        <w:t>taVNS &amp; CES Protocols</w:t>
      </w:r>
    </w:p>
    <w:p>
      <w:r>
        <w:t>taVNS and CES protocols.</w:t>
      </w:r>
    </w:p>
    <w:p>
      <w:pPr>
        <w:pStyle w:val="Heading1"/>
      </w:pPr>
      <w:r>
        <w:t>Safety &amp; Contraindications</w:t>
      </w:r>
    </w:p>
    <w:p>
      <w:r>
        <w:t>Safety considerations.</w:t>
      </w:r>
    </w:p>
    <w:p>
      <w:pPr>
        <w:pStyle w:val="Heading1"/>
      </w:pPr>
      <w:r>
        <w:t>Inclusion &amp; Exclusion Criteria</w:t>
      </w:r>
    </w:p>
    <w:p>
      <w:r>
        <w:t>Patient eligibility criteria.</w:t>
      </w:r>
    </w:p>
    <w:p>
      <w:pPr>
        <w:pStyle w:val="Heading1"/>
      </w:pPr>
      <w:r>
        <w:t>References</w:t>
      </w:r>
    </w:p>
    <w:p>
      <w:r>
        <w:t>All citations with PMIDs.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