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Control &amp; Clinical Responsibility</w:t>
      </w:r>
    </w:p>
    <w:p>
      <w:r>
        <w:t>Organization: SOZO Brain Center</w:t>
      </w:r>
    </w:p>
    <w:p>
      <w:pPr>
        <w:pStyle w:val="Heading1"/>
      </w:pPr>
      <w:r>
        <w:t>Patient Information</w:t>
      </w:r>
    </w:p>
    <w:p>
      <w:r>
        <w:t>Patient identification and session metadata.</w:t>
      </w:r>
    </w:p>
    <w:p>
      <w:pPr>
        <w:pStyle w:val="Heading1"/>
      </w:pPr>
      <w:r>
        <w:t>Clinical Overview</w:t>
      </w:r>
    </w:p>
    <w:p>
      <w:r>
        <w:t>Brief overview of [CONDITION NAME] for intake context.</w:t>
      </w:r>
    </w:p>
    <w:p>
      <w:pPr>
        <w:pStyle w:val="Heading1"/>
      </w:pPr>
      <w:r>
        <w:t>Assessment Tools &amp; Screening</w:t>
      </w:r>
    </w:p>
    <w:p>
      <w:r>
        <w:t>Baseline assessment scales.</w:t>
      </w:r>
    </w:p>
    <w:p>
      <w:pPr>
        <w:pStyle w:val="Heading1"/>
      </w:pPr>
      <w:r>
        <w:t>Clinical Phenotypes</w:t>
      </w:r>
    </w:p>
    <w:p>
      <w:r>
        <w:t>Phenotype identification at intake.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