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 &amp; Clinical Responsibility</w:t>
      </w:r>
    </w:p>
    <w:p>
      <w:r>
        <w:t>Organization: SOZO Brain Center</w:t>
      </w:r>
    </w:p>
    <w:p>
      <w:pPr>
        <w:pStyle w:val="Heading1"/>
      </w:pPr>
      <w:r>
        <w:t>Responder Criteria</w:t>
      </w:r>
    </w:p>
    <w:p>
      <w:r>
        <w:t>SOZO response definitions for [CONDITION NAME].</w:t>
      </w:r>
    </w:p>
    <w:p>
      <w:pPr>
        <w:pStyle w:val="Heading1"/>
      </w:pPr>
      <w:r>
        <w:t>Assessment Tools</w:t>
      </w:r>
    </w:p>
    <w:p>
      <w:r>
        <w:t>Outcome measures for response tracking.</w:t>
      </w:r>
    </w:p>
    <w:p>
      <w:pPr>
        <w:pStyle w:val="Heading1"/>
      </w:pPr>
      <w:r>
        <w:t>Evidence Gaps</w:t>
      </w:r>
    </w:p>
    <w:p>
      <w:r>
        <w:t>Known evidence gaps in response classification.</w:t>
      </w:r>
    </w:p>
    <w:p>
      <w:pPr>
        <w:pStyle w:val="Heading1"/>
      </w:pPr>
      <w:r>
        <w:t>References</w:t>
      </w:r>
    </w:p>
    <w:p>
      <w:r>
        <w:t>All citations with PMIDs.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