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1B3A5C"/>
          <w:sz w:val="32"/>
        </w:rPr>
        <w:t>SOZO BRAIN CENTER — PARTNERS TIER</w:t>
      </w:r>
    </w:p>
    <w:p>
      <w:pPr>
        <w:jc w:val="center"/>
      </w:pPr>
      <w:r>
        <w:rPr>
          <w:rFonts w:ascii="Calibri" w:hAnsi="Calibri"/>
          <w:b/>
          <w:i w:val="0"/>
          <w:color w:val="2E75B6"/>
          <w:sz w:val="28"/>
        </w:rPr>
        <w:t>Chronic Pain-Specific 6-Network Bedside Assessment</w:t>
      </w:r>
    </w:p>
    <w:p>
      <w:pPr>
        <w:shd w:val="clear" w:color="auto" w:fill="7B2D8E"/>
        <w:jc w:val="center"/>
      </w:pPr>
      <w:r>
        <w:rPr>
          <w:rFonts w:ascii="Calibri" w:hAnsi="Calibri"/>
          <w:b/>
          <w:i w:val="0"/>
          <w:color w:val="FFFFFF"/>
          <w:sz w:val="22"/>
        </w:rPr>
        <w:t>🟣 FNON + Evidence-Based Assessment — Includes Brain Network Analysis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Patient Name: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Birth: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Assessment: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Clinician: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Session Number: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Medication State: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ON  /  OFF  /  Wash-out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Primary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Secondary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Current Medications: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Referral Source: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Notes: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Scoring Key: </w:t>
      </w:r>
      <w:r>
        <w:rPr>
          <w:rFonts w:ascii="Calibri" w:hAnsi="Calibri"/>
          <w:b w:val="0"/>
          <w:i w:val="0"/>
          <w:color w:val="2E75B6"/>
          <w:sz w:val="22"/>
        </w:rPr>
        <w:t xml:space="preserve">HYPO (1)  |  </w:t>
      </w:r>
      <w:r>
        <w:rPr>
          <w:rFonts w:ascii="Calibri" w:hAnsi="Calibri"/>
          <w:b w:val="0"/>
          <w:i w:val="0"/>
          <w:color w:val="1B3A5C"/>
          <w:sz w:val="22"/>
        </w:rPr>
        <w:t xml:space="preserve">NORMAL (0)  |  </w:t>
      </w:r>
      <w:r>
        <w:rPr>
          <w:rFonts w:ascii="Calibri" w:hAnsi="Calibri"/>
          <w:b w:val="0"/>
          <w:i w:val="0"/>
          <w:color w:val="CC0000"/>
          <w:sz w:val="22"/>
        </w:rPr>
        <w:t>HYPER (2)</w:t>
      </w:r>
      <w:r>
        <w:rPr>
          <w:rFonts w:ascii="Calibri" w:hAnsi="Calibri"/>
          <w:b/>
          <w:i w:val="0"/>
          <w:color w:val="1B3A5C"/>
          <w:sz w:val="22"/>
        </w:rPr>
        <w:t xml:space="preserve">          Total: 44 Tests (Max Score: 88)</w:t>
      </w:r>
    </w:p>
    <w:p>
      <w:pPr>
        <w:shd w:val="clear" w:color="auto" w:fill="7B2D8E"/>
      </w:pPr>
      <w:r>
        <w:rPr>
          <w:rFonts w:ascii="Calibri" w:hAnsi="Calibri"/>
          <w:b/>
          <w:i w:val="0"/>
          <w:color w:val="FFFFFF"/>
          <w:sz w:val="20"/>
        </w:rPr>
        <w:t xml:space="preserve">🟣 Chronic Pain-Adapted Version: </w:t>
      </w:r>
      <w:r>
        <w:rPr>
          <w:rFonts w:ascii="Calibri" w:hAnsi="Calibri"/>
          <w:b w:val="0"/>
          <w:i w:val="0"/>
          <w:color w:val="FFFFFF"/>
          <w:sz w:val="20"/>
        </w:rPr>
        <w:t>Includes central sensitization markers, pain catastrophizing tests, and Chronic Pain phenotype indicators</w:t>
      </w:r>
    </w:p>
    <w:p/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Default Mode Network (DMN)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Rumination Probe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'When pain is worst, do thoughts about it repeat involuntarily?' Rate duration and controllability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thoughts controllable; 0-4/10; brief episodes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rumination despite high pain; dissociation from pain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Uncontrollable pain thoughts ≥8/10 for &gt;2 hours; chronic pain DMN hallmark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Autobiography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patient to narrate pain history: onset, evolution, current impact.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Coherent; some positive reframing; functional goals mentioned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Sparse; denies pain impact; stoic suppression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Entirely suffering-focused; hopeless; no positive elements; catastrophizing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Identity Integration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'Would you say chronic pain is part of who you are?' Rate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0-4; pain acknowledged but not identity-defining; adaptive coping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denies pain significance; avoidant coping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≥8; pain as complete identity; loss of non-pain self-concept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Mind Wandering — Pain Content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2-min reading with 4 probes. Note: when off-task, is content pain-related?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≤1/4 off-task; neutral mind-wandering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0/4; hypervigilant task focus; suppression coping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3-4/4 off-task; pain-specific thought content; pain-DMN capture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Catastrophizing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3 questions: 'Will pain never get better? Do you feel helpless? Do you magnify pain?' Rate 0-10 each.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≤3; realistic pain appraisal; self-efficacy maintained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0-1 across all; denial; minimization; avoidant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 on ≥2 items; high catastrophizing; pain DMN hyperactivation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Prospective Memory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5-min reminder task during assessment.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Independent recall within 5±1 min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Forgets; cognitive load from pain impairs prospective memory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Repeatedly reminds before time; pain-driven hypermonitoring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Narrative — Pain Impact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'What activities have you given up because of pain?' Rate acceptance vs avoidance framing.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Acknowledges losses but maintains goals; ACT-compatible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Denies giving up activities; minimization; avoidant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Extensive list; nothing maintained; complete pain-driven life restriction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Chronic Pain Relevance: Chronic Pain drives DMN HYPERACTIVITY through pain rumination and catastrophizing. The pain-default mode loop maintains suffering at rest. Pain-related DMN regions (mPFC, PCC) show increased connectivity, sustaining pain chronification beyond peripheral nociception.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Default Mode Network (DMN)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Central Executive Network (CEN/FPN)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Digit Span Backward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digit recall. Maximum span.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≥5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≤3; cognitive dysfunction from chronic pain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4; borderline; pain-related interference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Trail Making B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connections. Time and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&lt;90 sec; ≤2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&gt;150 sec; pain-related executive dysfunction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90-150 sec; moderate; pain-cognition interference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Verbal Fluency FAS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60 sec per letter. Count unique words.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≥10 words/letter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&lt;6; poor fluency; pain-related executive HYPO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6-9; mild reduction; attentional drain from pain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Stroop — Pain Emotional Words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Include pain-related words (hurt, ache, sharp). Compare interference.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Uniform response time; ≤3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Stroop effect; dissociation from pain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Selectively slowed on pain words; pain-emotional Stroop effect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Serial 7 Subtraction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100-7 for 5 steps.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5/5 correct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≤2/5; cognitive load from pain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3-4/5; mild errors; pain-attention interaction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Self-Efficacy — Decision Task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Offer 2 task options. Note if pain appraisal impairs decision-making.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Decisive; considers pain but engages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Cannot decide; helplessness; pain-driven executive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pain-avoidant decisions; pain drives all choices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Category Switching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fruits and vegetables 60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≥10 alternations; ≤2 intrusions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&lt;5; poor flexibility; pain-cognitive interference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count; slow pacing; effortful due to pain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Chronic Pain Relevance: CEN HYPOACTIVITY in Chronic Pain reflects attentional resource depletion by pain. DLPFC fails to apply top-down analgesia, reducing endogenous pain inhibition. Working memory and executive function are impaired by constant pain-related cognitive load.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Central Executive Network (CEN/FPN)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Salience Network (SN)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Widespread Pain Index — Bedside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patient to indicate pain locations on body. Count regions affected.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 pain regions; localized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 regions; denial; avoidant coping; analgesia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≥7 widespread regions; fibromyalgia pattern; central sensitization; SN HYPER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Allodynia Screen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Apply light cotton touch to forearm. Ask if painful.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Light touch not painful; no allodynia; normal threshold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pain to any stimulus; sensory blunting; hypoalgesia; HYPO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Light touch reported as painful; allodynia; central sensitization; SN HYPER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Interoception — Pain Hyperawareness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heartbeats 25 sec. Ask: 'Are you aware of pain during concentration?'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Accuracy 0.75; pain remains in background during concentration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Low accuracy; poor body awareness; dissociation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accuracy AND heightened pain awareness during focus; hyperinteroception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Error Monitoring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Sentence with 2 errors. Spontaneous correction.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≥1; calm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Misses both; cognitive load from pain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errors; uses for self-criticism; pain-mood interaction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Pressure Algometry — Tender Point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Apply thumb pressure to trapezius and calf bilaterally. Rate pain 0-10 each.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≤4 at all sites; no widespread tenderness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 at all sites; hypoalgesia; analgesia; HYPO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 at ≥3 sites; widespread tenderness; fibromyalgia SN HYPER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Sensory Switching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Alternate visual and auditory tasks. Note if switching triggers pain increase.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 sec; smooth; no pain increase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Poor switching; cognitive inertia; pain-cognitive rigidity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Switching triggers pain or headache; sensory overload; fibromyalgia SN HYPER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Response — Pain Startle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Unexpected auditory tone. Note if tone triggers pain response.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Brief interruption; reorientation &lt;3 sec; no pain increase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orienting; disengaged; hyporesponsive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Exaggerated startle; tone triggers pain; central sensitization of startle-pain circuit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Chronic Pain Relevance: Central sensitization is characterized by SN HYPERACTIVITY: the ACC and anterior insula become hyper-responsive to all sensory inputs, creating widespread allodynia, hyperalgesia, and emotional hypersensitivity. This is the neurobiological hallmark of fibromyalgia.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Salience Network (SN)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Sensorimotor Network (SMN)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Finger Tapping — Pain During Movement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Index tapping 10 sec each hand. Note pain with movement.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≥45 taps; regular; no movement-induced pain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&lt;35 taps; pain-inhibited movement; kinesiophobia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rate; patient reports pain increase during tapping; movement hyperalgesia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Grip Assessment — Pain with Gripping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Bilateral grip. Note pain with gripping.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Firm symmetric; no pain with gripping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Weak; pain avoidance; fear-avoidance model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grip but pain ≥7 during gripping; movement-induced pain amplification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Fine Motor Sequencing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Thumb-to-finger 10 sec. Note pain interference.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 sequences; no pain increase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≤2; pain-inhibited fine motor; disuse pattern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3-4 sequences; pain awareness heightened during fine motor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Functional Movement — Chair Rise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Rise from chair without arm support; turn; sit back. Time the sequence.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&lt;12 sec; pain-free or minimal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Cannot perform; severe pain-inhibited movement; kinesiophobia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Performs but &gt;20 sec; reports pain ≥7; fear-avoidance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Romberg Test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Feet together eyes closed 30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Stable; minimal sway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Excessive sway; fibromyalgia proprioceptive HYPO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Stable but excessive tensing; guarding; protective motor pattern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Widespread Tenderness Survey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pressure at 4 tender points (bilateral trapezius, bilateral knee) 0-10.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0-2 at each site; no diffuse tenderness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 pain at all sites; hypoalgesia; analgesia; HYPO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 at ≥3 sites; fibromyalgia diagnosis support; SN HYPER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Activity Pacing Assessment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'Do you stop before pain starts (pacing) or push until pain stops you?'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Paces; activity matched to capacity; adaptive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Denies any pain limitation; avoidant minimization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Boom-bust pattern; over-does then crashes; maladaptive pacing; pain chronification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Reaction Time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Hand lift when pen drops. 3 trials average.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&lt;300 ms; pain does not delay initiation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≥500 ms; pain-inhibited motor readiness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&lt;250 ms but pain increases after fast movement; reactive hyperalgesia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Chronic Pain Relevance: Chronic Pain causes SMN HYPOACTIVITY through pain-inhibited movement, guarding, and disuse. The fear-avoidance model drives progressive SMN under-engagement. Movement-induced pain amplification in fibromyalgia reflects central sensitization of SMN output.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Sensorimotor Network (SMN) Total: _____ / 16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Limbic / Emotional Network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Catastrophizing — Fear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'Are you afraid of what your pain means for your future?' Rate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Fear ≤4; realistic; acceptance-based coping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denial; avoidant; catastrophizing not accessible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≥8; catastrophic pain fear; kinesiophobia; limbic HYPER core feature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Face Recognition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6 emotions from photos. Score /6.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≥5/6 correct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&lt;4/6; emotional blunting; pain-social disconnection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4-5/6; mild; pain-related emotional preoccupation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 Labeling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emotional scenarios. Name response.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Accurate differentiated labels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Flat; 'nothing'; pain has numbed emotional response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emotions flavored by pain-frustration; labels anxiety across all scenarios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Memory — Pain Bias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10 words (5 pain/negative, 5 positive). Recall after 5-min distractor.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Balanced recall; slight emotional advantage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recall; pain cognitive load impairs emotional processing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Pain/negative words preferentially recalled; positive suppressed; pain-mood bias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Reward Sensitivity — Pain Barrier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interest in 5 enjoyable activities 0-10. Note: avoidance from pain fear vs anhedonia.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≥6; maintains pleasurable activities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≤3; pain-driven anhedonia; avoidance from fear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interest but pain prevents participation; preserved motivation with pain barrier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Social Impact of Pain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comfort in 5 social scenarios 0-10. Note pain as barrier.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≥5/10 for ≥4; social engagement maintained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≤3; social withdrawal; depression; limbic HYPO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≤3; avoidance from pain in social contexts; shame; isolation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Affective Flexibility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then happy memory. Mood shift and recovery.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Shift ≥3; recovery &lt;3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Flat; no shift; pain-induced emotional blunting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memory activates pain; pain prevents positive affect; limbic-pain loop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Chronic Pain Relevance: Limbic HYPERACTIVITY drives fear-avoidance, pain catastrophizing, and emotional amplification of pain signals. Amygdala-ACC hyperconnectivity creates a pain-emotion feedback loop. Depression and anxiety are common comorbidities driven by limbic chronification.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Limbic / Emotional Network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Attention Networks (DAN/VAN)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Pain-Attention Interference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backward from 50. At pain moment: how does performance change? Rate interference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Maintains counting with mild pain; ≤2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Doesn't stop despite severe pain; dissociation possible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Completely stops at pain flare; pain captures all attentional resources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 Attention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Circle all A's in 20-item list.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≤3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multiple omissions; cognitive interference from pain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but interspersed with pain rubs; pain breaks attentional continuity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Divided Attention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by 2s while naming objects.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 each task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Abandons one; pain absorbs cognitive resources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Completes but reports pain increase with dual-task; cognitive-pain interaction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Visual Search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Find star among 20 distractors.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&lt;20 sec; systematic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Fails; gives up; pain-driven disengagement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20-40 sec; systematic but interrupted by pain attention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Body Hypervigilance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Observe attention to body during assessment. Count body-directed behaviors (touching painful area, wincing).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body-directed behaviors per 5 min; balanced attention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0-1; avoidant body attention; suppression coping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 body-directed behaviors; body hypervigilance; VAN HYPER for pain cues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Response — Pain Context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Unexpected tone. Note if it triggers body awareness increase.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Brief interruption; no pain increase; reorientation &lt;3 sec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orienting; sensory blunting; HYPO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Tone triggers body scan; pain awareness increase; SN-VAN hyperactivation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Response Inhibition Cancel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Cancel circles on mixed-shape sheet.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≤2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pain-driven psychomotor slowing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time but interrupted by pain breaks; continuity disruption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Fatigue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cancellation 5 min; compare halves.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&lt;15%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&gt;40%; pain-driven rapid attentional fatigue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20-35% drop; moderate; pain-attention resource depletion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Chronic Pain Relevance: Attention Networks show HYPO for non-pain content (pain captures attentional resources) alongside HYPER-vigilance for body sensations and pain cues. DAN HYPO reflects reduced top-down attentional control; VAN HYPER reflects excessive pain-signal capture.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Attention Networks (DAN/VAN) Total: _____ / 16</w:t>
      </w:r>
    </w:p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Network Summary Profile</w:t>
      </w:r>
    </w:p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Map network scores to phenotype for FNON-based montage and protocol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Max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Raw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% of 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Dysfunction Pattern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Mode Network (DMN)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Central Executive Network (CEN/FPN)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Salience Network (SN)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Sensorimotor Network (SMN)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Limbic / Emotional Network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 Networks (DAN/VAN)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GRAND TOTAL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88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Dominant Network Dysfunction: </w:t>
      </w:r>
      <w:r>
        <w:rPr>
          <w:rFonts w:ascii="Calibri" w:hAnsi="Calibri"/>
          <w:b w:val="0"/>
          <w:i w:val="0"/>
          <w:sz w:val="22"/>
        </w:rPr>
        <w:t>_______________________________   Score: _____ / _____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Secondary Network: </w:t>
      </w:r>
      <w:r>
        <w:rPr>
          <w:rFonts w:ascii="Calibri" w:hAnsi="Calibri"/>
          <w:b w:val="0"/>
          <w:i w:val="0"/>
          <w:sz w:val="22"/>
        </w:rPr>
        <w:t>_______________________________   Tertiary: _______________________________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Phenotype Assignment</w:t>
      </w:r>
    </w:p>
    <w:p>
      <w:r>
        <w:rPr>
          <w:rFonts w:ascii="Calibri" w:hAnsi="Calibri"/>
          <w:b w:val="0"/>
          <w:i w:val="0"/>
          <w:sz w:val="22"/>
        </w:rPr>
        <w:t>Chronic Pain phenotypes: (1) CATASTROPHIZING — DMN HYPER + Limbic HYPER; (2) CENTRAL SENSITIZATION — SN HYPER dominant (fibromyalgia); (3) FEAR-AVOIDANCE — Limbic HYPER + SMN HYPO; (4) COGNITIVE-PAIN — CEN HYPO + Attention HYPO. Map to primary network for FNON protocol selection.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Assigned Phenotype: </w:t>
      </w:r>
      <w:r>
        <w:rPr>
          <w:rFonts w:ascii="Calibri" w:hAnsi="Calibri"/>
          <w:b w:val="0"/>
          <w:i w:val="0"/>
          <w:sz w:val="22"/>
        </w:rPr>
        <w:t>________________________________________</w:t>
      </w:r>
    </w:p>
    <w:p/>
    <w:p>
      <w:r>
        <w:rPr>
          <w:rFonts w:ascii="Calibri" w:hAnsi="Calibri"/>
          <w:b/>
          <w:i w:val="0"/>
          <w:color w:val="7B2D8E"/>
          <w:sz w:val="22"/>
        </w:rPr>
        <w:t xml:space="preserve">FNON Strategy: </w:t>
      </w:r>
      <w:r>
        <w:rPr>
          <w:rFonts w:ascii="Calibri" w:hAnsi="Calibri"/>
          <w:b w:val="0"/>
          <w:i w:val="0"/>
          <w:sz w:val="22"/>
        </w:rPr>
        <w:t>Primary: Inhibit SN hyperactivation (cathodal/low-frequency over ACC or contralateral S1/M1). Facilitate CEN (left DLPFC) for top-down pain modulation. Anodal M1 tDCS reduces central sensitization in fibromyalgia. Combine with graded activity and pain education.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Medication &amp; Clinical Notes</w:t>
      </w:r>
    </w:p>
    <w:p>
      <w:pPr>
        <w:shd w:val="clear" w:color="auto" w:fill="CC0000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⚠ CRITICAL: </w:t>
      </w:r>
      <w:r>
        <w:rPr>
          <w:rFonts w:ascii="Calibri" w:hAnsi="Calibri"/>
          <w:b w:val="0"/>
          <w:i w:val="0"/>
          <w:color w:val="FFFFFF"/>
          <w:sz w:val="20"/>
        </w:rPr>
        <w:t>CRITICAL: Record medication state at each assessment. Results may differ significantly ON vs OFF medication.</w:t>
      </w:r>
    </w:p>
    <w:p>
      <w:r>
        <w:rPr>
          <w:rFonts w:ascii="Calibri" w:hAnsi="Calibri"/>
          <w:b/>
          <w:i w:val="0"/>
          <w:color w:val="1B3A5C"/>
          <w:sz w:val="22"/>
        </w:rPr>
        <w:t xml:space="preserve">Medication State at Assessment: </w:t>
      </w:r>
      <w:r>
        <w:rPr>
          <w:rFonts w:ascii="Calibri" w:hAnsi="Calibri"/>
          <w:b w:val="0"/>
          <w:i w:val="0"/>
          <w:sz w:val="22"/>
        </w:rPr>
        <w:t>□ ON Medication    □ OFF Medication    □ Medication Wash-out    □ Unmedicated</w:t>
      </w:r>
    </w:p>
    <w:p/>
    <w:p>
      <w:r>
        <w:rPr>
          <w:rFonts w:ascii="Calibri" w:hAnsi="Calibri"/>
          <w:b/>
          <w:i w:val="0"/>
          <w:color w:val="1B3A5C"/>
          <w:sz w:val="20"/>
        </w:rPr>
        <w:t xml:space="preserve">Medication Name/Dose/Timing: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Time Since Last Dose: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Clinical Observations: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Network Interpretation Notes: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Next Assessment Date: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