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ALZHEIMER'S DISEASE / MILD COGNITIVE IMPAIRMENT</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Alzheimer's Disease / MCI (AD/MCI).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Alzheimer's Disease / MCI (AD/MCI)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AD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AD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AD/MCI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Level B evidence — established NIBS for cognitive decline</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(On-Label for AD) / Investigational for MCI</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neuroinflammation and memory consolidation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apathy, sleep, and mood component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NOTE: TPS (NEUROLITH®) is CE-marked for Alzheimer's disease — this is an approved on-label indication at SOZO Brain Center. Standard informed consent for TPS is required. For MCI (pre-AD) use, TPS is investigational and the standard off-label disclosure applies.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AD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Alzheimer's Disease / MCI (AD/MCI).</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AD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Where the patient has reduced capacity, consent must be obtained from a legal guardian or authorised representative in accordance with applicable law. For MCI patients with preserved capacity, standard consent applies.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AD/MCI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B evidence for memory and cognitive function in AD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for Alzheimer's disease (on-label); investigational for MCI</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for AD; off-label disclosure for MCI</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neuroinflammation reduction and memory consolidation pathway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apathy, sleep, and anxiety comorbidity in AD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AD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 / caregiver-rated):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Short-term memory (recall of recent events and information)</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Long-term memory (access to established memories)</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Word-finding (naming objects, finding words mid-sentence)</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Orientation (time, place, and person)</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(daily choices and planning)</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Problem-solving (managing novel challenges)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Learning new information</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Recognition (faces, familiar places, objects)</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Apathy / motivation</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Agitation / restlessness</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Wandering / disorientation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Appetite and weight</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Independence in activities of daily living (ADL)</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Amnestic MCI, Multi-Domain MCI, Early-Onset AD, Late-Onset AD, Posterior Cortical Atrophy, Logopenic, Behavioural/Frontal, Mixed AD-Vascular, or Apathy-Dominant.</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Amnestic MCI</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 DMN atrophy (hippocampal-PCC disconnection); episodic memory failure with preserved executive function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Multi-Domain MCI</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 + CEN co-impairment; memory plus executive or language deficits; higher AD conversion risk</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Early-Onset AD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Prominent CEN fragmentation (executive) + DMN atrophy; younger presentation; rapid progression risk</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Late-Onset AD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Progressive DMN degeneration + widespread network disconnection; amyloid and tau co-pathology</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Posterior Cortical Atrophy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Parieto-occipital network disruption; visuospatial impairment, dressing apraxia; SMN-ATTENTION involvement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Logopenic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Left temporo-parietal language network atrophy; word-finding and repetition failure; phonological loop disruption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 / Frontal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CEN-LIMBIC dysregulation; disinhibition, apathy, and compulsive behaviours; frontal network predominance</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Apathy-Dominant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CEN-LIMBIC disconnection; profound motivation failure; reward circuit hypofunction; requires specific FNON targeting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(AD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cholinesterase inhibitor / memantine (name, dose, timing of last dose, caregiver-confirmed adherence)</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(cholinesterase inhibitor / memantine adherence, timing of last dose, caregiver report of behaviour today)</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working memory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cognitive training (categorisation, n-back, word association); keep session short and structured</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P3/P4 (temporal-parietal)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 consolidation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Structured recall tasks, name-face association, semantic memory exercises; spaced repetition</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 DMN modulation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Attention-guided reality orientation therapy, present-moment grounding tasks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Fp1/Fp2 / 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Apathy / motivation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Pleasurable activity scheduling, social reminiscence therapy, caregiver-guided task engagement</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tDCS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Neuroplasticity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Music-based memory therapy, emotionally salient reminiscence, caregiver interaction tasks</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or stabilisation in MoCA memory items + PRS memory domain; caregiver global impression</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Cognition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Maintained or improved executive and orientation scores (MoCA total, PRS items); ADL stability</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 / Apathy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apathy, agitation, or neuropsychiatric symptoms (PRS secondary + NPI-Q equivalent)</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ADL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or maintained independence in activities of daily living (caregiver-reported); reduced caregiver burden</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Cognitive performance in AD/MCI fluctuates with fatigue, infection, dehydration, and medication state. Standardise assessment conditions between baseline and follow-up — same time of day, same caregiver present, same medication state. Acute illness episodes (UTI, respiratory infection) in the preceding 4 weeks must be documented before interpreting SOZO PRS or cognitive screen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diagnosis of Alzheimer's disease or MCI (NIA-AA criteria or equivalent; specialist-confirmed)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MMSE ≥15 or MoCA ≥10 at baseline (sufficient for meaningful participation)</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50+ years (early-onset AD: 40+ with specialist confirmation)</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with caregiver support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(patient with capacity, or guardian/representative for reduced capacity)</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cognitive outcome measures (MoCA or MMSE)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 and no available legal representative</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 (higher prevalence in AD — requires neurology review)</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MMSE below 15 (reduced cooperation and informed consent capacity — guardian consent required)</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cardiovascular disease or recent cardiac event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or severe agitation preventing safe device application</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behaviours requiring pharmacological sedation (stimulation not suitable until stabilised)</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AD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Amnestic MCI</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P3/P4 anode (temporal-parietal memory) + F3/F4 supportive + TPS cranial (hippocampal vicinity)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Multi-Domain MCI</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P3/P4 + TPS cranial comprehensive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Early-Onset AD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P3/P4 anode + TPS cranial targeted + taVNS primary (neuroinflammation)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Late-Onset AD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TPS cranial (CE-marked, on-label) primary + tDCS F3/F4 + P3/P4 + taVNS + CES (sleep/mood)</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Posterior Cortical Atrophy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P3/P4/O1/O2 anode (posterior) + TPS parieto-occipital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Logopenic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F3/T3 (L hemisphere language) anode + TPS left frontal + temporal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 / Frontal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 taVNS + CES (behavioural stabilisation)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Apathy-Dominant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Fp2 cathode (reward circuit) + TPS frontal + taVNS + CES; pair with meaningful activity</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