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CHRONIC PAIN / FIBROMYALGIA</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Chronic Pain / Fibromyalgia (CP).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Chronic Pain / Fibromyalgia (CP)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CP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CP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Chronic Pain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Level B evidence — established NIBS for chronic pain and fibromyalgia</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cranial and peripheral application</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vagal anti-inflammatory and descending inhibition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Cleared (FDA 510k) — pain, anxiety, and insomnia indication</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Chronic Pain / Fibromyalgia is INVESTIGATIONAL at SOZO Brain Center. It is not CE-marked or FDA-approved for CP.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CP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Chronic Pain / Fibromyalgia (CP).</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CP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Chronic Pain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Chronic Pain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M1 and DLPFC montages in chronic pain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vagal anti-inflammatory pathway and descending pain inhibition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pain, anxiety, and insomnia</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CP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intensity (average over past week)</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frequency (proportion of waking hours in pain)</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interference with activities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Tenderness / allodynia</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Stiffness (morning or movement-related)</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(pain-related exhaustion)</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Physical function (ability to perform daily tasks)</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Flare frequency and severity</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 (pain-disturbed sleep)</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fog (fibro-fog)</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withdrawal (due to pain)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dependence</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Exercise tolerance</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Overall quality of life</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Nociceptive, Neuropathic, Nociplastic, Fibromyalgia, CRPS, Musculoskeletal, Headache/Migraine, Visceral, or Pain-Depression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CP: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Nociceptive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nociceptor activation with intact central processing; SN activation proportionate to tissue damage</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Neuropathic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or central nervous system damage; SN sensitisation + SMN dysregulation; burning/shooting quality</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Nociplastic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Central sensitisation without tissue damage; SN global hypersensitivity; DMN pain rumination amplification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Fibromyalgia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Widespread nociplastic pain; SN hyperactivation + DMN rumination + CEN hypofunction (fibro-fog)</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CRPS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Sympathetic-somatic coupling; SMN-SN dysregulation; severe allodynia; autonomic network involvement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Musculoskeletal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nociceptive + SN amplification; localised SMN involvement; activity-related pattern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Migraine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Trigeminovascular-SN pathway sensitisation; cortical spreading depression; ATTENTION network disruption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Pain-Depression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SN-LIMBIC overcoupling; bidirectional pain-mood amplification; CEN hypofunction (catastrophising)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(CP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analgesic medication (name, dose, timing of last dose, opioid status if applicable); note current pain rating (NRS 0–10)</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(analgesic adherence, timing of last dose, current pain NRS rating at session start)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M1 anode (C3/C4 contralateral)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Descending pain inhibition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motor imagery, mirror box therapy, gentle repetitive movement tasks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 (DLPFC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catastrophising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acceptance exercises (ACT), cognitive defusion, pleasant imagery</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and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pain management, structured pacing and activity scheduling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 peripheral + taVNS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pain + vagal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Passive positioning, progressive relaxation, breathing exercises — no active movement required</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and anxiety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sleep hygiene education, slow breathing</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Intensity / Frequency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NRS (≥30%) + PRS pain intensity and frequency items</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Physical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physical activity tolerance, daily task completion, and PRS functional items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 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sleep quality (PRS secondary) and reduced pain-related fatigue (PRS fatigue item)</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Quality of Life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depression/anxiety (PRS secondary) and global quality of life rating</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Chronic pain fluctuates with weather, activity level, sleep quality, and medication timing. Standardise baseline and follow-up assessments — same time of day, same medication state relative to last dose, and same physical activity level in the preceding 24 hours. Flare events in the week prior to assessment must be documented before interpreting SOZO PRS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chronic pain condition (≥3 months duration; specialist-diagnosed or GP-referred with documented history)</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pain interference with function (NRS ≥5 average, or PRS ≥5)</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pain outcome measures (NRS + BPI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 or stimulation target regions (skin)</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CRPS Stage II/III — active sympathetically-maintained pain (requires specialist review for TPS)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 or opioid dependence (requires pain specialist co-management)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psychiatric comorbidity (severe depression, suicidal ideation)</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 — assess peripheral application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 or TPS peripheral application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Implanted spinal cord stimulator or peripheral nerve stimulator (requires specialist review)</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CP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Nociceptive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(C3/C4) + TPS peripheral (pain ROIs)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Neuropathic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(contralateral C3/C4) + F3 anode / Pz cathode + TPS peripheral nerve pathway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Nociplastic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M1 anode + TPS cranial + peripheral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Fibromyalgia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M1 anode (C3/C4) + TPS cranial + peripheral widespread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CRPS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contralateral M1 anode + TPS peripheral (affected limb) + taVNS primary; start low intensity; specialist review</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Musculoskeletal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(C3/C4) + TPS peripheral (affected muscle group)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Migraine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 tDCS Fpz cathode / F3 anode + TPS cranial (low energy); avoid during acute migraine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Pain-Depression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F4 cathode (L-DLPFC up) + M1 anode + TPS frontal + peripheral + taVNS + CES daily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