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SOZO BRAIN CENTER — PARTNERS TIER</w:t>
      </w:r>
    </w:p>
    <w:p>
      <w:pPr>
        <w:spacing w:after="8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34"/>
          <w:szCs w:val="34"/>
        </w:rPr>
        <w:t>Chronic Pain Responder Tracking &amp; Classification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1B3A5C"/>
          <w:sz w:val="22"/>
          <w:szCs w:val="22"/>
        </w:rPr>
        <w:t>SOZO Response Assessment, Pregabalin/Duloxetine-tDCS Documentation &amp; FNON Non-Responder Pathway</w:t>
      </w:r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FNON + Evidence-Based Assessment — Includes Brain Network Analysis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Patient Name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File Number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Phenotype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Central Sensitisation  □ Nociplastic  □ Neuropathic  □ Comorbid Depression  □ Mixed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Symptom Severity / Stage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Treating Doctor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Assessment Point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 Session 8–10  □ End of Block  □ Follow-Up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Sessions Completed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___ / ___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1__SOZO_Operational_Response_Definition" w:id="1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1. SOZO Operational Response Definition</w:t>
      </w:r>
      <w:bookmarkEnd w:id="2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Define response at end of block (typically 10–20 sessions). Patient must meet criteria in at least one domain.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000"/>
        <w:gridCol w:w="1000"/>
        <w:gridCol w:w="2960"/>
      </w:tblGrid>
      <w:t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Domain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Response Criteria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Met?</w:t>
            </w:r>
          </w:p>
        </w:tc>
        <w:tc>
          <w:tcPr>
            <w:tcW w:type="dxa" w:w="2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Notes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Pain Intensity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≥30% reduction in pain NRS or VAS; MCID met on BPI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Pain Interference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Reduction in BPI interference subscale; improved daily activity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Mood/Affect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Reduction in pain-related depression (PHQ-9) or anxiety (GAD-7)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Function/Sleep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Better sleep quality, physical function, or fatigue reduction (FIQ/FACIT)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</w:tbl>
    <w:p>
      <w:pPr>
        <w:pBdr>
          <w:top w:val="single" w:color="2E75B6" w:sz="2"/>
          <w:left w:val="single" w:color="2E75B6" w:sz="2"/>
          <w:bottom w:val="single" w:color="2E75B6" w:sz="2"/>
          <w:right w:val="single" w:color="2E75B6" w:sz="2"/>
        </w:pBdr>
        <w:shd w:fill="D6E4F0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1B3A5C"/>
          <w:sz w:val="20"/>
          <w:szCs w:val="20"/>
        </w:rPr>
        <w:t>This avoids "false non-responder" labelling due to pain flare timing, rescue medication use, and day-to-day pain variability.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2__Likely_Responder_Profiles" w:id="3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2. Likely Responder Profiles</w:t>
      </w:r>
      <w:bookmarkEnd w:id="4"/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FNON-based responder profiling maps treatment targets to network hypotheses for optimised protocol selection.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2200"/>
        <w:gridCol w:w="236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Phenotype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Best-Fit Patient Profile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Protocol</w:t>
            </w:r>
          </w:p>
        </w:tc>
        <w:tc>
          <w:tcPr>
            <w:tcW w:type="dxa" w:w="2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Evidence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Central Sensitisation (M1 anodal)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Widespread pain amplification; cortical pain map expansion; poor descending inhibition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M1 anodal tDCS + graded activity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Strong (meta-analysis; fibromyalgia RCTs)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Nociplastic / Fibromyalgia (M1+DLPFC)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Fibromyalgia; fatigue + pain + mood overlap; CEN-limbic imbalance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M1 + DLPFC tDCS + graded exercise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Moderate (systematic reviews)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Neuropathic (M1-led)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Post-herpetic, CRPS, diabetic neuropathy; central pain sensitisation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M1 anodal tDCS + sensory desensitisation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Moderate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Comorbid Depression (DLPFC+M1)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Pain + depression overlap; mesolimbic-CEN dysregulation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DLPFC + M1 tDCS + taVNS + behavioural activation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Moderate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Catastrophising-dominant (DLPFC)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High pain catastrophising; PFC downregulation of pain matrix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L-DLPFC anodal + cognitive restructuring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Sleep-pain cycle (CES+M1)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Chronic pain driving sleep disruption and vice versa; arousal dysregulation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CES + M1 tDCS + sleep hygiene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3__Predictors_of_Better_Response" w:id="5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3. Predictors of Better Response</w:t>
      </w:r>
      <w:bookmarkEnd w:id="6"/>
    </w:p>
    <w:p>
      <w:pPr>
        <w:pStyle w:val="Heading2"/>
        <w:spacing w:after="160" w:before="280"/>
      </w:pPr>
      <w:bookmarkStart w:name="3A__Clinical_Predictors" w:id="7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3A. Clinical Predictors</w:t>
      </w:r>
      <w:bookmarkEnd w:id="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000"/>
        <w:gridCol w:w="2160"/>
      </w:tblGrid>
      <w:tr>
        <w:tc>
          <w:tcPr>
            <w:tcW w:type="dxa" w:w="3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Predictor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Why It Matters</w:t>
            </w:r>
          </w:p>
        </w:tc>
        <w:tc>
          <w:tcPr>
            <w:tcW w:type="dxa" w:w="2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Present?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Central sensitisation confirmed (not purely peripheral)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M1 tDCS targets descending inhibitory control; most effective for central pain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Analgesic medication at stable dose ≥4 weeks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Stable GABAergic/serotonergic tone supports tDCS analgesia mechanism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Capacity for graded activity tasks during tDCS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Activity-dependent analgesia enhances tDCS analgesic effects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Network hypothesis confirmed by 6-Network Assessment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FNON pain matrix and descending inhibitory network mapping guides protocol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3B__Protocol_Predictors__Modifiable_" w:id="9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3B. Protocol Predictors (Modifiable)</w:t>
      </w:r>
      <w:bookmarkEnd w:id="1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Factor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Recommendation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Target choice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M1 anodal for central/nociplastic; DLPFC for catastrophising/affective component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Activity integration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Graded activity during tDCS essential; rest-only sessions less effective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Flare management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Do not assess during known pain flare; maintain consistent activity level pre-session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Network alignment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FNON pain matrix (M1/DLPFC) vs descending inhibitory network guides montage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3C__Measurement_Predictors" w:id="1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3C. Measurement Predictors</w:t>
      </w:r>
      <w:bookmarkEnd w:id="12"/>
    </w:p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WARNING: If baseline is assessed on a low-pain day and follow-up during a pain flare (or vice versa), or if rescue medication was used differently before assessments, you can create a false responder or non-responder. Always document pain NRS, rescue medication use, activity level, and stress level at assessment.</w:t>
      </w:r>
    </w:p>
    <w:p>
      <w:r>
        <w:br w:type="page"/>
      </w:r>
    </w:p>
    <w:p>
      <w:pPr>
        <w:pStyle w:val="Heading1"/>
        <w:spacing w:after="200" w:before="360"/>
      </w:pPr>
      <w:bookmarkStart w:name="4__SOZO_Response_Classification" w:id="13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4. SOZO Response Classification</w:t>
      </w:r>
      <w:bookmarkEnd w:id="14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000000"/>
          <w:sz w:val="22"/>
          <w:szCs w:val="22"/>
        </w:rPr>
        <w:t>Use at Session 10 (or 8–10) and again at end of block: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Classification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Criteria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Action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≥30% pain NRS reduction + functional improvement on BPI/FIQ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Continue protocol; plan maintenance schedule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Partial 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10–29% pain reduction OR function improvement without pain change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Re-phenotype; adjust target; consider taVNS addition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Non-Responder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&lt;10% pain reduction in all domains after adequate trial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Follow FNON Non-Responder Pathway (Section 6)</w:t>
            </w:r>
          </w:p>
        </w:tc>
      </w:tr>
    </w:tbl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PATIENT CLASSIFICATION: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□ Responder  □ Partial Responder  □ Non-Responder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5__Likely_Non_Responder_Profiles" w:id="15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5. Likely Non-Responder Profiles</w:t>
      </w:r>
      <w:bookmarkEnd w:id="1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Profile</w:t>
            </w:r>
          </w:p>
        </w:tc>
        <w:tc>
          <w:tcPr>
            <w:tcW w:type="dxa" w:w="34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Why Limited Response</w:t>
            </w:r>
          </w:p>
        </w:tc>
        <w:tc>
          <w:tcPr>
            <w:tcW w:type="dxa" w:w="34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Alternative Strategy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Predominantly peripheral pain (non-central)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M1/cortical tDCS not primary mechanism for peripheral nociception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Review diagnosis; consider TPS FT9 + peripheral focus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High opioid use confounding central sensitisation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Opioid-induced hyperalgesia complicates response measurement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Pain specialist review; opioid optimisation first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Severe psychiatric comorbidity (PTSD, severe depression)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Competing limbic circuit activation reduces analgesic effect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Treat psychiatric comorbidity first; integrated protocol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Medication non-compliance or frequent analgesic changes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Unstable descending inhibitory tone confounds tDCS effects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Stabilise medications; pain management plan review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bookmarkStart w:name="6__SOZO_Non_Responder_Pathway__FNON_Level_5_" w:id="17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6. SOZO Non-Responder Pathway (FNON Level 5)</w:t>
      </w:r>
      <w:bookmarkEnd w:id="18"/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If no meaningful improvement after 8–10 sessions, follow FNON Level 5 adjustment pathway: Reassess phenotype → Revise network hypothesis → Modify montage/modality.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4400"/>
        <w:gridCol w:w="19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4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Details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Done?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Confirm Fundamentals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Correct montage, impedance, session compliance, dose timing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Re-Phenotype (FNON Level 1)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Is it truly motor-dominant or executive-dominant? Recheck 6-Network scores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Revise Network Hypothesis (FNON Level 2)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Map revised phenotype to new network targets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Change Target (FNON Level 3)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Switch montage AND/OR switch modality based on revised hypothesis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Review Medication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>Review ON/OFF state variability; standardise analgesic/neuromodulatory agent timing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Add Modality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Add TPS if tDCS alone; add taVNS if limbic involvement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Consider Discontinuation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If no response after 2 full blocks, document and discuss with patient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</w:tbl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DO NOT escalate intensity beyond safety limits. Always follow SOZO FNON Protocol safety parameters.</w:t>
      </w:r>
    </w:p>
    <w:p>
      <w:r>
        <w:br w:type="page"/>
      </w:r>
    </w:p>
    <w:p>
      <w:pPr>
        <w:pStyle w:val="Heading1"/>
        <w:spacing w:after="200" w:before="360"/>
      </w:pPr>
      <w:bookmarkStart w:name="7__Levodopa_tDCS_Scheduling___Documentation" w:id="19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>7. Pregabalin/Duloxetine-tDCS Scheduling &amp; Documentation</w:t>
      </w:r>
      <w:bookmarkEnd w:id="20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000000"/>
          <w:sz w:val="22"/>
          <w:szCs w:val="22"/>
        </w:rPr>
        <w:t>tDCS effects are state-dependent. Pregabalin modulates central sensitisation; duloxetine enhances descending inhibitory tone — both interact with tDCS analgesia mechanisms.</w:t>
      </w:r>
    </w:p>
    <w:p>
      <w:pPr>
        <w:pStyle w:val="Heading2"/>
        <w:spacing w:after="160" w:before="280"/>
      </w:pPr>
      <w:bookmarkStart w:name="7A__ON_State_vs_OFF_State_Comparison" w:id="2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7A. Medicated vs Flare State Comparison</w:t>
      </w:r>
      <w:bookmarkEnd w:id="2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Factor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Stable Analgesic State (Default SOZO)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Flare / Rescue Medication Use (Document)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Definition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during stable analgesic dose without recent rescue medication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during pain flare or within 4h of rescue medication use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Pain Level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Baseline pain NRS consistent; valid comparison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Elevated NRS masks tDCS analgesic effect or creates false response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Task Participation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Better engagement with graded activity tasks at stable pain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Reduced compliance; pain-avoidance behaviour activated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Comparison Validity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Valid within-block if activity level is consistent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High variability; document and flag in classification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Evidence Support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Stable analgesic state required for M1 tDCS analgesia protocol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Avoid assessing on flare days; reschedule if NRS ≥7/10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B__SOZO_Scheduling_Rules" w:id="23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7B. SOZO Scheduling Rules</w:t>
      </w:r>
      <w:bookmarkEnd w:id="24"/>
    </w:p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SOZO Standard Rule: Choose ONE baseline pain state context for a block and keep it CONSISTENT. Pain flare timing and rescue medication use are the most common sources of false classification in chronic pain.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Domain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Pregabalin/Duloxetine Name &amp; Dose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Duration at Current Dose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___ weeks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Rescue Medication Used Before Session?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No  □ Yes — Type/Dose/Time: ___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Pain NRS at Session Start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___/10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Activity Level Day Before Session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Rest  □ Light  □ Moderate  □ Heavy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Chosen State for Block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Stable analgesic (default)  □ Other (document rationale)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Start Time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Keep consistent: ___:___ AM/PM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C__Levodopa___tDCS_Pairing_by_PD_Phenotype" w:id="25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7C. Analgesic + tDCS Pairing by Pain Phenotype</w:t>
      </w:r>
      <w:bookmarkEnd w:id="2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800"/>
        <w:gridCol w:w="2560"/>
      </w:tblGrid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Phenotype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tDCS Config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Concurrent Task</w:t>
            </w:r>
          </w:p>
        </w:tc>
        <w:tc>
          <w:tcPr>
            <w:tcW w:type="dxa" w:w="2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Outcome Measures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Central Sensitisation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M1 anodal 2mA + contralateral cathodal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Graded activity tasks during tDCS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Pain NRS, BPI, FIQ, QST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Nociplastic/Fibromyalgia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M1 + DLPFC tDCS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Graded exercise + relaxation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FIQ-R, FACIT-F, PHQ-9, NRS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Catastrophising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L-DLPFC anodal + M1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Cognitive restructuring + graded exposure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PCS, NRS, PHQ-9, BPI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Comorbid Depression/Pain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DLPFC + taVNS + M1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Behavioural activation + light activity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PHQ-9, NRS, SHAPS, FIQ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D__Levodopa_tDCS_Documentation_Checklist" w:id="27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7D. Analgesic-tDCS Documentation Checklist</w:t>
      </w:r>
      <w:bookmarkEnd w:id="2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000"/>
        <w:gridCol w:w="1960"/>
      </w:tblGrid>
      <w:tr>
        <w:tc>
          <w:tcPr>
            <w:tcW w:type="dxa" w:w="5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Documentation Item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Completed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N/A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Analgesic name, dose, and duration at current dose recorded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Rescue medication use within 4h of session documented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Pain NRS at session start recorded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Activity level day before session documented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Baseline assessment pain state and medication context recorded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Follow-up in same pain state context (not on flare day)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Medication changes during block documented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start time consistent across block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Outcomes interpreted with pain state and rescue medication context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bookmarkStart w:name="8__SOZO_Responder_Signature_Data_Collection" w:id="29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8. SOZO Responder Signature Data Collection</w:t>
      </w:r>
      <w:bookmarkEnd w:id="3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00"/>
        <w:gridCol w:w="1960"/>
      </w:tblGrid>
      <w:tr>
        <w:tc>
          <w:tcPr>
            <w:tcW w:type="dxa" w:w="3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Data Point</w:t>
            </w:r>
          </w:p>
        </w:tc>
        <w:tc>
          <w:tcPr>
            <w:tcW w:type="dxa" w:w="3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 / Detail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Recorded?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Phenotype label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H&amp;Y stage + disease duration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Stage: ___ Duration: ___ years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Montage + protocol ID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Network hypothesis (FNON Level 2)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Concurrent task type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Number of sessions completed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___ / ___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>Analgesic/neuromodulatory agent timing protocol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Baseline PRS / outcome scores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Follow-up PRS / outcome scores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Response classification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 Responder □ Partial □ Non-Responder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Adverse events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Regulator_Safe_Language_Guide" w:id="3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Regulator-Safe Language Guide</w:t>
      </w:r>
      <w:bookmarkEnd w:id="3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Appropriate to State</w:t>
            </w:r>
          </w:p>
        </w:tc>
        <w:tc>
          <w:tcPr>
            <w:tcW w:type="dxa" w:w="4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AVOID Stating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is an adjunctive pain management tool alongside stable analgesic therapy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eliminates chronic pain or replaces analgesic medications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Effects target central sensitisation; peripheral pain mechanisms are not directly addressed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repairs underlying tissue damage or pathology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Evidence is moderate for central/nociplastic pain; effect sizes are clinically meaningful in responders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is curative for fibromyalgia or chronic pain syndromes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Clinical Notes &amp; Rationale: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_______________________________________________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_______________________________________________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Signature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Doctor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1"/>
      </w:pBdr>
      <w:tabs>
        <w:tab w:val="right" w:pos="9360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1B3A5C"/>
        <w:sz w:val="16"/>
        <w:szCs w:val="16"/>
      </w:rPr>
      <w:t xml:space="preserve">CONFIDENTIAL — SOZO Brain Center</w:t>
    </w:r>
    <w:r>
      <w:rPr>
        <w:rFonts w:ascii="Arial" w:cs="Arial" w:eastAsia="Arial" w:hAnsi="Arial"/>
        <w:b w:val="false"/>
        <w:bCs w:val="false"/>
        <w:i w:val="false"/>
        <w:iCs w:val="false"/>
        <w:color w:val="000000"/>
        <w:sz w:val="22"/>
        <w:szCs w:val="22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1B3A5C"/>
        <w:sz w:val="16"/>
        <w:szCs w:val="16"/>
      </w:rPr>
      <w:t xml:space="preserve">Page </w:t>
    </w:r>
    <w:r>
      <w:rPr>
        <w:rFonts w:ascii="Arial" w:cs="Arial" w:eastAsia="Arial" w:hAnsi="Arial"/>
        <w:color w:val="1B3A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b w:val="false"/>
        <w:bCs w:val="false"/>
        <w:i/>
        <w:iCs/>
        <w:color w:val="2E75B6"/>
        <w:sz w:val="16"/>
        <w:szCs w:val="16"/>
      </w:rPr>
      <w:t xml:space="preserve">SOZO FNON — PD Responder Tracking &amp; Classification | Partners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B3A5C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2026-03-13T14:16:32.270Z</dcterms:created>
  <dcterms:modified xsi:type="dcterms:W3CDTF">2026-03-13T14:16:32.270Z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