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MAJOR DEPRESSIVE DISORDER</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Major Depressive Disorder (MDD).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Major Depressive Disorder (MDD)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MDD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MDD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MDD Status</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Level B evidence — established NIBS for MDD</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(Off-Label)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adjunctive — vagal-mood pathway</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Cleared (FDA 510k) — depression / anxiety / insomnia indication</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Major Depressive Disorder is INVESTIGATIONAL at SOZO Brain Center. It is not CE-marked or FDA-approved for MDD.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MDD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Major Depressive Disorder (MDD).</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MDD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MDD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MDD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Established NIBS; Level B evidence for MDD (L-DLPFC montage)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adjunctive — vagal-limbic regulation for mood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 510k cleared for depression, anxiety, and insomnia</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MDD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Depressed mood (persistent low mood, sadness)</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Anhedonia (loss of interest or pleasure)</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Guilt / worthlessness</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Fatigue / energy loss</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Psychomotor change (slowing or agitation)</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Concentration / decision-making difficulty</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Appetite / weight change</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Suicidal ideation (passive; assess actively if present)</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disturbance (insomnia or hypersomnia)</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 / worry</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Irritability</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withdrawal</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Libido / relationship function</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Pain (somatic complaints)</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Self-esteem / confidence</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Motivation / drive</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Melancholic, Atypical, Anxious, Treatment-Resistant, Psychomotor-Retarded, Cognitive, Insomnia-Dominant, Anhedonic, or Somatic.</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MDD: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Melancholic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hyperactivation + CEN hypofunction; pervasive anhedonia, psychomotor retardation, diurnal variation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Atypical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Reactive mood; LIMBIC hyperresponsivity to positive stimuli; SN over-sensitivity; rejection hypersensitivity</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Anxious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hyperactivation (fear/threat amplification) + LIMBIC-SN overcoupling; prominent anxiety and tension</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Treatment-Resistant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Multi-network dysfunction; CEN-LIMBIC-SN triad impairment; poor anterior cingulate modulation</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Psychomotor-Retarded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 hypofunction (motor initiation deficit) + CEN hypoactivation; pronounced slowing</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fragmentation (working memory, executive function) + DMN intrusion; cognitive depression subtype</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Insomnia-Dominant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hyperarousal + LIMBIC-SN sleep disruption loop; insomnia as primary driver of mood cycle</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Anhedonic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reward hypofunction (nucleus accumbens-PFC disconnect) + CEN hypoactivation; flat affect</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(MDD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antidepressant medication (name, dose, timing of last dose, adherence, and duration of current prescription)</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(antidepressant adherence, timing of last dose, any recent medication changes)</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F4 cathode (L-DLPFC 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Mood / cognitive activation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activation tasks (verbal fluency, n-back), structured behavioural activation planning</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 motivation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Motivational interviewing exercises, goal-setting, reward scheduling worksheets</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Pz cathode / F3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DMN downregulation + DLPFC up</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Mindfulness-based attention, present-moment awareness tasks, gratitude journalling</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Fp2 cathode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Anhedonia / reward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Pleasant activity scheduling, reward tracking, positive imagery exercises</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 CES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Limbic stabilisation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Relaxation response training, slow breathing (5 breaths/min), guided progressive relaxation</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Mood / Affect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in PHQ-9 or equivalent (≥50% reduction) + PRS primary domain improvement</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Anhedonia / Motivation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of interest/pleasure in activities (PRS anhedonia + motivation items); patient-reported functional gain</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concentration, decision-making, and executive function (PRS + MoCA or equivalent)</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Function / Sleep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daily living, social participation, sleep quality, and occupational engagement (PRS secondary domains)</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Standardise assessment conditions between baseline and follow-up. Ensure consistent evaluation timing relative to antidepressant medication cycles and circadian mood patterns. Changes in concurrent psychotherapy, significant life events, or medication adjustments must be documented and considered when interpreting SOZO PRS score changes.</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diagnosis of Major Depressive Disorder (ICD-10 F32/F33 or DSM-5 criteria)</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Moderate to severe depressive episode or treatment-resistant course (PHQ-9 ≥10 or equivalent)</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18+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depression outcome measures (PHQ-9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suicidal ideation with plan or intent (requires psychiatric risk assessment first)</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Bipolar disorder (requires mood stabiliser optimisation prior to NIBS)</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medical condition or severe systemic illness</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MDD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Melancholic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(L-DLPFC up) + TPS frontal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Atypical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TPS frontal + taVNS + CES (mood reactivity stabilisation)</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Anxious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F4 cathode + TPS frontal + taVNS primary (vagal calming)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Treatment-Resistant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Pz cathode (DMN downregulation) + TPS frontal aggressive + taVNS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Psychomotor-Retarded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F3/C3 anode (motor-DLPFC combined) + TPS frontal + peripheral upper limb + taVNS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TPS frontal + taVNS supportive; pair with cognitive rehabilitation tasks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Insomnia-Dominant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(pre-sleep) + taVNS (evening) + tDCS Fpz/F3 cathode + TPS frontal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Anhedonic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 anode / Fp2 cathode (reward circuit) + TPS frontal + taVNS + CES; pair with behavioural activation</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