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MULTIPLE SCLEROSIS</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Multiple Sclerosis (MS).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Multiple Sclerosis (MS)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MS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MS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MS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Level B evidence — established NIBS for fatigue and motor function in MS</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fatigue, autonomic, and neuroinflammation modulation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fatigue, depression, and sleep component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Multiple Sclerosis is INVESTIGATIONAL at SOZO Brain Center. It is not CE-marked or FDA-approved for MS.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MS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Multiple Sclerosis (MS).</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MS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MS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MS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fatigue reduction and motor rehabilitation in MS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neuroinflammation, fatigue, and autonomic modulation in MS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MS fatigue, depression, and sleep comorbidity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MS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(MS fatigue — distinct from sleepiness)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Walking ability (distance, speed, and safety)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Hand and arm coordination</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Balance (standing and moving balance)</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Visual clarity (blurring, double vision)</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Spasticity (muscle stiffness and spasms)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Bladder / bowel function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Sensory symptoms (numbness, tingling, pain)</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fog (MS-related cognitive slowing)</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(neuropathic and musculoskeletal)</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Heat sensitivity (Uhthoff phenomenon)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relational function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and occupational capacity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Independence in daily activities</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Motor/Spasticity, Fatigue-Dominant, Cognitive, Ataxia-Dominant, Pain-Dominant, Bladder/Autonomic, Depression-Dominant, Visual, or Walking-Impaired.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disruption (demyelination of corticospinal tract); upper motor neuron syndrome; CEN-SMN disconnection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Thalamo-cortical fatigue network; widespread network inefficiency; CEN-DMN energy dysregulation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(periventricular lesion burden); processing speed reduction; DMN-CEN decoupling</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Ataxia-Dominant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Cerebellar-SMN pathway disruption; coordination and balance network impairment; ATTENTION involvement</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 SMN sensory pathway disruption; neuropathic pain network</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Bladder / Autonomic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SMN-autonomic network disruption; pontine micturition centre disconnection; SN sensitisation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MS-specific depression network; adjustment and organic components</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Walking-Impaired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lower limb pathway disruption + cerebellar-SMA network; fatigue-motor interaction; ATTENTION burden during gait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(MS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disease-modifying therapy (name, regimen, last dose); note any recent relapse, Uhthoff worsening, or heat exposure before session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(DMT regimen and adherence, timing of symptom-management medications, current fatigue and heat sensitivity rating)</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Contralateral M1 (C3/C4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physiotherapy — repetitive task training, resistance exercises, Frenkel coordination exercises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cognition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training (low-intensity, energy-managed), working memory tasks, paced activity scheduling</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SMA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Gait and balance</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Treadmill walking (slow, supported), balance board, physiotherapy-guided stepping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activation, pleasant activity scheduling, structured social engagement</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neuroinflammation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Rest-based relaxation, slow breathing, energy conservation strategies — no active task</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MS fatigue (MFIS ≥4 point reduction + PRS fatigue item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Walking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10m walk test, TUG, or grip strength + PRS motor items; improved EDSS stability or improvement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SDMT or MoCA + PRS cognitive items; improved processing speed and working memory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depression and mood scores (PHQ-9 equivalent) + improved independence and quality of life (PRS secondary)</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MS symptoms are profoundly heat-sensitive (Uhthoff phenomenon) and fluctuate with fatigue, infection, and relapse. Standardise assessment conditions — same ambient temperature, same fatigue level, same time relative to DMT dosing. Any relapse event within 6 weeks of assessment must be documented and baseline reset. Do not attribute PRS changes to NIBS if a relapse or pseudo-relapse occurred during the treatment block.</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Multiple Sclerosis diagnosis (McDonald criteria 2017 or equivalent; neurologist-confirmed)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Clinically stable MS (no relapse within 3 months; EDSS ≤7.0 for active participation)</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 (with caregiver if needed)</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MS outcome measures (MFIS, EDSS, MoCA)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 or lesion in planned stimulation path</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(higher prevalence in MS — requires neurology review)</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Recent relapse (within 3 months) — defer NIBS until clinically stable; reassess EDSS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heat sensitivity — temperature-controlled session environment required; monitor closely</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cognitive impairment limiting cooperation and outcome measurement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with suicidal ideation (requires psychiatric stabilisation first)</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MS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Motor / Spasticity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anode (C3/C4) + TPS cranial + peripheral affected limb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Cz (energy modulation) + TPS cranial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P3/P4 anode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Ataxia-Dominant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 cerebellar (C7 posterior) + M1 anode + TPS cranial + peripheral cerebellar ROI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F3 anode / Pz cathode + TPS cranial + peripheral pain sites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Bladder / Autonomic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primary (daily) + CES + tDCS F3/F4 supportive + TPS frontal; bladder diary tracking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Depression-Dominant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Walking-Impaired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Cz / SMA + M1 anode (C3/C4) + TPS cranial + peripheral lower limb + taVNS supportive</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