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SOZO BRAIN CENTER — PARTNERS TIER</w:t>
      </w:r>
    </w:p>
    <w:p>
      <w:pPr>
        <w:spacing w:after="8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34"/>
          <w:szCs w:val="34"/>
        </w:rPr>
        <w:t>MS Responder Tracking &amp; Classification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1B3A5C"/>
          <w:sz w:val="22"/>
          <w:szCs w:val="22"/>
        </w:rPr>
        <w:t>SOZO Response Assessment, DMT/Symptomatic-tDCS Documentation &amp; FNON Non-Responder Pathway</w:t>
      </w:r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FNON + Evidence-Based Assessment — Includes Brain Network Analysis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Patient 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File Number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Phenotype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Relapsing-Remitting  □ Secondary Progressive  □ Cognitive  □ Fatigue-dominant  □ Spasticity-dominant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Symptom Severity / Stage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Treating Doctor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Assessment Point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 Session 8–10  □ End of Block  □ Follow-Up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Sessions Completed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___ / ___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1__SOZO_Operational_Response_Definition" w:id="1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1. SOZO Operational Response Definition</w:t>
      </w:r>
      <w:bookmarkEnd w:id="2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Define response at end of block (typically 10–20 sessions). Patient must meet criteria in at least one domain.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1000"/>
        <w:gridCol w:w="2960"/>
      </w:tblGrid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Domain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Response Criteria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Met?</w:t>
            </w:r>
          </w:p>
        </w:tc>
        <w:tc>
          <w:tcPr>
            <w:tcW w:type="dxa" w:w="2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Fatigue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≥4 point reduction on MFIS or clinically meaningful fatigue improvement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Cognition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Improvement on MSNQ, PASAT, SDMT, or MoCA executive items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Motor/Spasticity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Improved walking speed, reduced spasticity (MAS), better balance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Function/QoL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Improved EDSS-related daily function or MS QoL-54 score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</w:tbl>
    <w:p>
      <w:pPr>
        <w:pBdr>
          <w:top w:val="single" w:color="2E75B6" w:sz="2"/>
          <w:left w:val="single" w:color="2E75B6" w:sz="2"/>
          <w:bottom w:val="single" w:color="2E75B6" w:sz="2"/>
          <w:right w:val="single" w:color="2E75B6" w:sz="2"/>
        </w:pBdr>
        <w:shd w:fill="D6E4F0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1B3A5C"/>
          <w:sz w:val="20"/>
          <w:szCs w:val="20"/>
        </w:rPr>
        <w:t>This avoids "false non-responder" labelling due to relapse-remission fluctuation and Uhthoff's phenomenon during heat exposure.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2__Likely_Responder_Profiles" w:id="3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2. Likely Responder Profiles</w:t>
      </w:r>
      <w:bookmarkEnd w:id="4"/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FNON-based responder profiling maps treatment targets to network hypotheses for optimised protocol selection.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200"/>
        <w:gridCol w:w="236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Phenotype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Best-Fit Patient Profile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Protocol</w:t>
            </w:r>
          </w:p>
        </w:tc>
        <w:tc>
          <w:tcPr>
            <w:tcW w:type="dxa" w:w="2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Fatigue-dominant (DLPFC+CES)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MS fatigue as primary complaint; CEN hypoactivation; frontal fatigue circuit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 + CES + paced cognitive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 (RCT support)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Cognitive MS (DLPFC)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Cognitive slowing, memory, processing speed; periventricular lesion burden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tDCS + cognitive rehabilitation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Motor/Spasticity (M1)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Spasticity, weakness, gait impairment; corticospinal tract involvement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M1 anodal tDCS + physiotherapy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Relapsing-Remitting stable (multi-target)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RRMS in stable remission; multiple domain involvement; awaiting DMT effect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+ M1 tDCS + taVNS + task sequence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Pain/Central Sensitisation (M1)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Central neuropathic pain; MS-related central sensitisation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M1 anodal + TPS FT9 + graded activity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Depression comorbid (DLPFC+taVNS)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MS + depression; limbic-PFC disruption; apathy + fatigue overlap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+ taVNS + behavioural activation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3__Predictors_of_Better_Response" w:id="5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3. Predictors of Better Response</w:t>
      </w:r>
      <w:bookmarkEnd w:id="6"/>
    </w:p>
    <w:p>
      <w:pPr>
        <w:pStyle w:val="Heading2"/>
        <w:spacing w:after="160" w:before="280"/>
      </w:pPr>
      <w:bookmarkStart w:name="3A__Clinical_Predictors" w:id="7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3A. Clinical Predictors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00"/>
        <w:gridCol w:w="2160"/>
      </w:tblGrid>
      <w:tr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Predictor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Why It Matters</w:t>
            </w:r>
          </w:p>
        </w:tc>
        <w:tc>
          <w:tcPr>
            <w:tcW w:type="dxa" w:w="2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Present?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Clinically stable remission (no relapse in preceding 3 months)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Active relapse changes cortical excitability; confounds tDCS response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DMT at stable regimen (not mid-switch or initiation)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Inflammatory fluctuation during DMT changes affects plasticity substrate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Capacity for morning session scheduling (avoid Uhthoff's/heat)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Heat-related deterioration can be minimised with morning sessions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hypothesis confirmed by 6-Network Assessment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FNON CEN/fatigue circuit and motor network mapping guides targeting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3B__Protocol_Predictors__Modifiable_" w:id="9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3B. Protocol Predictors (Modifiable)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Factor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Recommendation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Target choice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for fatigue/cognitive; M1 for motor/spasticity; CES for sleep/ANS regulation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timing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Morning sessions preferred; avoid afternoon heat exposure; cooled environment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Relapse monitoring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Suspend sessions during relapse; resume only when clinically stable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alignment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FNON CEN hypoactivation + motor network asymmetry guides montage selection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3C__Measurement_Predictors" w:id="1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3C. Measurement Predictors</w:t>
      </w:r>
      <w:bookmarkEnd w:id="12"/>
    </w:p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WARNING: If baseline is assessed during remission and follow-up occurs during a relapse (or vice versa), or if heat exposure triggers Uhthoff's phenomenon before assessment, you can create a false responder or non-responder. Always document relapse/remission status, Uhthoff's exposure, and fatigue time-of-day at assessment.</w:t>
      </w:r>
    </w:p>
    <w:p>
      <w:r>
        <w:br w:type="page"/>
      </w:r>
    </w:p>
    <w:p>
      <w:pPr>
        <w:pStyle w:val="Heading1"/>
        <w:spacing w:after="200" w:before="360"/>
      </w:pPr>
      <w:bookmarkStart w:name="4__SOZO_Response_Classification" w:id="13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4. SOZO Response Classification</w:t>
      </w:r>
      <w:bookmarkEnd w:id="14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000000"/>
          <w:sz w:val="22"/>
          <w:szCs w:val="22"/>
        </w:rPr>
        <w:t>Use at Session 10 (or 8–10) and again at end of block: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Classification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Criteria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Meaningful improvement in primary symptom domain + stable relapse status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Continue protocol; plan 3-monthly maintenance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Partial 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Fatigue or cognition improvement but limited motor/functional transfer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Adjust target; review session environment for heat control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Non-Responder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 improvement in any domain after adequate trial in remission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Follow FNON Non-Responder Pathway (Section 6)</w:t>
            </w:r>
          </w:p>
        </w:tc>
      </w:tr>
    </w:tbl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PATIENT CLASSIFICATION: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□ Responder  □ Partial Responder  □ Non-Responder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5__Likely_Non_Responder_Profiles" w:id="15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5. Likely Non-Responder Profiles</w:t>
      </w:r>
      <w:bookmarkEnd w:id="1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Profile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Why Limited Response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Alternative Strategy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Active relapse during treatment block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Acute inflammatory lesion activity dominates; tDCS effect obscured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Suspend; resume in remission; document relapse carefully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Progressive MS (SPMS/PPMS) with significant disability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Axonal loss limits cortical plasticity capacity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Adjust expectations; symptomatic focus; CES for fatigue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Severe Uhthoff's phenomenon limiting session tolerance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Heat-induced temporary worsening reduces task engagement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Air-conditioned sessions; cooling vest; very early morning scheduling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DMT mid-switch or significant immunological instability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Unpredictable inflammatory state confounds tDCS outcomes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Complete DMT transition; re-baseline at stable remission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bookmarkStart w:name="6__SOZO_Non_Responder_Pathway__FNON_Level_5_" w:id="17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6. SOZO Non-Responder Pathway (FNON Level 5)</w:t>
      </w:r>
      <w:bookmarkEnd w:id="18"/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If no meaningful improvement after 8–10 sessions, follow FNON Level 5 adjustment pathway: Reassess phenotype → Revise network hypothesis → Modify montage/modality.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4400"/>
        <w:gridCol w:w="19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Done?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Confirm Fundamentals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Correct montage, impedance, session compliance, dose timing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Re-Phenotype (FNON Level 1)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Is it truly motor-dominant or executive-dominant? Recheck 6-Network scores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Revise Network Hypothesis (FNON Level 2)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Map revised phenotype to new network targets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Change Target (FNON Level 3)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Switch montage AND/OR switch modality based on revised hypothesis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Review Medication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>Review ON/OFF state variability; standardise disease-modifying therapy/symptomatic agent timing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Add Modality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Add TPS if tDCS alone; add taVNS if limbic involvement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Consider Discontinuation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If no response after 2 full blocks, document and discuss with patient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</w:tbl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DO NOT escalate intensity beyond safety limits. Always follow SOZO FNON Protocol safety parameters.</w:t>
      </w:r>
    </w:p>
    <w:p>
      <w:r>
        <w:br w:type="page"/>
      </w:r>
    </w:p>
    <w:p>
      <w:pPr>
        <w:pStyle w:val="Heading1"/>
        <w:spacing w:after="200" w:before="360"/>
      </w:pPr>
      <w:bookmarkStart w:name="7__Levodopa_tDCS_Scheduling___Documentation" w:id="19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>7. DMT/Symptomatic-tDCS Scheduling &amp; Documentation</w:t>
      </w:r>
      <w:bookmarkEnd w:id="20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000000"/>
          <w:sz w:val="22"/>
          <w:szCs w:val="22"/>
        </w:rPr>
        <w:t>tDCS effects are state-dependent. DMTs modulate inflammatory activity; symptomatic agents (e.g., fampridine, amantadine) interact with cortical excitability and fatigue mechanisms.</w:t>
      </w:r>
    </w:p>
    <w:p>
      <w:pPr>
        <w:pStyle w:val="Heading2"/>
        <w:spacing w:after="160" w:before="280"/>
      </w:pPr>
      <w:bookmarkStart w:name="7A__ON_State_vs_OFF_State_Comparison" w:id="2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7A. Remission State vs Relapse/Post-Relapse State Comparison</w:t>
      </w:r>
      <w:bookmarkEnd w:id="2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Factor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Stable Remission + DMT (Default SOZO)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Relapse / Post-Relapse Recovery Phase (Avoid)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Definition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during clinically stable remission on established DMT regimen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during active relapse or within 4 weeks post-relapse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Cortical State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Stable excitability; consistent inflammatory and plasticity substrate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Active lesion formation; cortical excitability dysregulated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Task Participation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Better function and compliance during stable remission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Functional decline during relapse; poor task engagement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Comparison Validity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Valid within-block in remission; stable baseline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Cannot attribute change to tDCS during relapse; results invalid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Evidence Support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All MS tDCS trials conducted in stable patients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Contraindicated during active relapse; resume only in remission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B__SOZO_Scheduling_Rules" w:id="23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7B. SOZO Scheduling Rules</w:t>
      </w:r>
      <w:bookmarkEnd w:id="24"/>
    </w:p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SOZO Standard Rule: Assess ONLY in clinically stable remission and keep this CONSISTENT across the block. Relapse vs remission state differences are the most critical source of false classification in 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Domain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DMT Name &amp; Dosing Schedule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Symptomatic Agents (fampridine, amantadine, etc.)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Relapse 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Stable remission  □ Post-relapse (date: ___)  □ Active relapse — DEFER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Last Relapse 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Uhthoff's Exposure Before Session?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None  □ Yes — Type: ___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Environment Temperature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Cooled (&lt;22°C)  □ Ambient  □ Warm — Adjust if needed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Start Time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Keep consistent (morning preferred): ___:___ AM/PM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C__Levodopa___tDCS_Pairing_by_PD_Phenotype" w:id="25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7C. DMT/Symptomatic + tDCS Pairing by MS Phenotype</w:t>
      </w:r>
      <w:bookmarkEnd w:id="2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800"/>
        <w:gridCol w:w="256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Phenotype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tDCS Config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Concurrent Task</w:t>
            </w:r>
          </w:p>
        </w:tc>
        <w:tc>
          <w:tcPr>
            <w:tcW w:type="dxa" w:w="2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Outcome Measures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Fatigue-dominant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 + CES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Paced cognitive tasks with rest breaks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MFIS, FACIT-F, MSNQ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Cognitive MS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 2mA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SDMT-type processing tasks, WM training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PASAT, SDMT, MoCA, MSNQ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Motor/Spasticity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M1 anodal + contralesional cathodal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Physiotherapy exercises during tDCS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25FWT, 9HPT, BBS, MAS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Depression/Apathy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+ taVNS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Behavioural activation + pleasurable activities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PHQ-9, MFIS, MSNQ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D__Levodopa_tDCS_Documentation_Checklist" w:id="27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7D. MS Medication-tDCS Documentation Checklist</w:t>
      </w:r>
      <w:bookmarkEnd w:id="2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000"/>
        <w:gridCol w:w="1960"/>
      </w:tblGrid>
      <w:tr>
        <w:tc>
          <w:tcPr>
            <w:tcW w:type="dxa" w:w="5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Documentation Item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Completed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N/A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DMT name, regimen, and stability confirmed at each session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Relapse/remission status documented (suspend if relapse)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Uhthoff's exposure before session checked and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environment temperature controlled and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Baseline assessment relapse status and DMT state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Follow-up assessment in clinically stable remission only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DMT changes or dose adjustments during block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start time (morning) consistent across block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Outcomes interpreted with relapse and heat-exposure context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bookmarkStart w:name="8__SOZO_Responder_Signature_Data_Collection" w:id="29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8. SOZO Responder Signature Data Collection</w:t>
      </w:r>
      <w:bookmarkEnd w:id="3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00"/>
        <w:gridCol w:w="1960"/>
      </w:tblGrid>
      <w:tr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Data Point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 / Detail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Recorded?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Phenotype label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H&amp;Y stage + disease duration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Stage: ___ Duration: ___ years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Montage + protocol ID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Network hypothesis (FNON Level 2)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Concurrent task type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Number of sessions completed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___ / ___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>Disease-modifying therapy/symptomatic agent timing protocol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Baseline PRS / outcome scores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Follow-up PRS / outcome scores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Response classification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 Responder □ Partial □ Non-Responder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Adverse events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Regulator_Safe_Language_Guide" w:id="3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Regulator-Safe Language Guide</w:t>
      </w:r>
      <w:bookmarkEnd w:id="3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Appropriate to State</w:t>
            </w:r>
          </w:p>
        </w:tc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AVOID Stating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is an adjunctive symptomatic intervention alongside established DMT therapy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modifies MS disease progression or reduces relapses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Effects target fatigue, cognition, and motor symptoms during stable remission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is a disease-modifying treatment for MS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Evidence is moderate for fatigue and cognitive applications in stable RRMS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replaces or reduces the need for DMT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Clinical Notes &amp; Rationale: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_______________________________________________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_______________________________________________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Doctor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tabs>
        <w:tab w:val="right" w:pos="9360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1B3A5C"/>
        <w:sz w:val="16"/>
        <w:szCs w:val="16"/>
      </w:rPr>
      <w:t xml:space="preserve">CONFIDENTIAL — SOZO Brain Center</w:t>
    </w:r>
    <w:r>
      <w:rPr>
        <w:rFonts w:ascii="Arial" w:cs="Arial" w:eastAsia="Arial" w:hAnsi="Arial"/>
        <w:b w:val="false"/>
        <w:bCs w:val="false"/>
        <w:i w:val="false"/>
        <w:iCs w:val="false"/>
        <w:color w:val="000000"/>
        <w:sz w:val="22"/>
        <w:szCs w:val="22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1B3A5C"/>
        <w:sz w:val="16"/>
        <w:szCs w:val="16"/>
      </w:rPr>
      <w:t xml:space="preserve">Page </w:t>
    </w:r>
    <w:r>
      <w:rPr>
        <w:rFonts w:ascii="Arial" w:cs="Arial" w:eastAsia="Arial" w:hAnsi="Arial"/>
        <w:color w:val="1B3A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 w:val="false"/>
        <w:bCs w:val="false"/>
        <w:i/>
        <w:iCs/>
        <w:color w:val="2E75B6"/>
        <w:sz w:val="16"/>
        <w:szCs w:val="16"/>
      </w:rPr>
      <w:t xml:space="preserve">SOZO FNON — PD Responder Tracking &amp; Classification | Partners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2026-03-13T14:16:32.270Z</dcterms:created>
  <dcterms:modified xsi:type="dcterms:W3CDTF">2026-03-13T14:16:32.270Z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