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POST-TRAUMATIC STRESS DISORDER</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Post-Traumatic Stress Disorder (PTSD).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Post-Traumatic Stress Disorder (PTSD)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PTSD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PTSD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PTSD Status</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(Off-Label) — prefrontal fear regulation</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(Off-Label)</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Primary adjunctive — parasympathetic regulation, fear extinction</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Cleared (FDA 510k) — anxiety indication; supportive for PTSD hyperarousal</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Off-Label Disclosure: TPS (NEUROLITH®) use in Post-Traumatic Stress Disorder is INVESTIGATIONAL at SOZO Brain Center. It is not CE-marked or FDA-approved for PTSD. All patients must provide written informed consent inclusive of the off-label TPS disclosure.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PTSD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Post-Traumatic Stress Disorder (PTSD).</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PTSD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This includes the off-label disclosure for all investigational modalities used in PTSD treatment. Trauma-sensitive consent procedures must be followed.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PTSD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prefrontal upregulation for fear regulation and trauma memory reconsolidation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Primary adjunctive — parasympathetic vagal regulation and fear extinction enhancement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 510k cleared for anxiety; supportive for PTSD hyperarousal and sleep</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PTSD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Intrusive memories (unwanted, recurring trauma memories)</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Flashbacks (reliving the trauma as if happening now)</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Nightmares (trauma-related disturbing dreams)</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Emotional reactivity (intense distress to triggers)</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Avoidance of trauma-related situations</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Avoidance of trauma-related thoughts / feelings</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Hypervigilance (constantly on guard, scanning for danger)</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Exaggerated startle response</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disturbance (insomnia, fragmented sleep)</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Depression / persistent low mood</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Anger and irritability</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Concentration difficulty</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Guilt and shame</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Emotional detachment / numbing</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Trust and relationship difficulties</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Substance use (as coping mechanism)</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Re-experiencing, Avoidance-Dominant, Hyperarousal, Dissociative, Complex PTSD, TBI Comorbid, Depression Comorbid, Nightmare-Dominant, or Moral Injury.</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PTSD: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Re-experiencing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Hippocampal-amygdala hyperconnectivity; SN over-encoding of trauma signal; DMN trauma-narrative intrusion</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Avoidance-Dominant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CEN-mediated behavioural suppression; SN avoidance routing; LIMBIC fear avoidance coupling</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Hyperarousal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tonic hyperactivation; LIMBIC-autonomic coupling; reduced prefrontal inhibition (CEN hypofunction)</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Dissociative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DMN-SN dissociation (depersonalisation/derealisation); altered interoceptive processing; LIMBIC suppression</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Complex PTSD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Multi-network disruption; CEN-LIMBIC-SN triad; identity and emotional regulation impairment; prolonged trauma</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TBI Comorbid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 damage + SN hyperactivation; dual pathology — requires TBI and PTSD network mapping simultaneously</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Depression Comorbid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 hyperactivation + CEN hypofunction; overlapping MDD-PTSD network disruption profile</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Nightmare-Dominant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LIMBIC-hippocampal sleep consolidation disruption; SN arousal during REM; night-specific re-experiencing</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(PTSD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SSRI / SNRI / prazosin (name, dose, timing of last dose, adherence); note current distress rating and any recent trauma exposure or flashback episode</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(SSRI/SNRI adherence, timing of last dose, current distress rating, any trauma exposure since last session)</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F4 cathode (L-DLPFC up)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Fear regulation / executive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Trauma-focused CBT (with therapist), cognitive processing, safe-memory activation</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Bilateral prefrontal (F3/F4 anode)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Hyperarousal / mood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Grounding techniques, present-moment awareness, diaphragmatic breathing</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Right temporal inhibition (TP8 cathode / F3 anode)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Trauma intrusion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EMDR preparation tasks, bilateral sensory stimulation, calm-place imagery</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taVNS primary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Parasympathetic / fear extinction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Slow breathing (5 breaths/min), progressive muscle relaxation, fear hierarchy exposure (low level)</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 + taVNS combined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Hyperarousal and sleep</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 restriction therapy, relaxation response training, grounding protocol</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Intrusion / Re-experiencing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reduction in PCL-5 intrusion subscale + PRS re-experiencing items</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Hyperarousal / Avoidance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Reduction in hypervigilance and avoidance ratings (PRS + PCL-5 arousal and avoidance subscales)</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 / Nightmares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Improvement in sleep quality and nightmare frequency (PRS + sleep diary)</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Function / Mood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Better social and occupational function, reduced depression/guilt (PRS secondary items + patient-reported)</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PTSD symptoms fluctuate with trauma anniversaries, media exposure, and social triggers. Standardise assessment conditions between baseline and follow-up. Document significant trauma-related events, exposure therapy milestones, and concurrent psychotherapy progress when interpreting SOZO PRS changes. Avoidance behaviours may mask symptom severity at follow-up — use corroborating clinician assessment.</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PTSD diagnosis (DSM-5 / ICD-11 criteria; clinician-administered CAPS-5 or PCL-5 ≥33 preferred)</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Moderate to severe PTSD symptom burden causing functional impairment</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18+ years; sufficient stabilisation for NIBS (not in acute crisis)</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 protocol</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(including TPS off-label disclosure; trauma-sensitive process)</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PTSD outcome measures (PCL-5 or equivalent)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tumour</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Epilepsy or seizure history</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suicidal ideation with plan or intent (requires psychiatric stabilisation first)</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dissociative episodes during sessions (pause; ground first; proceed only when stabilised)</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substance abuse or dependence (requires co-management with addiction specialist)</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Dermatological conditions at electrode sites</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comorbid bipolar disorder in acute phase (requires mood stabilisation first)</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PTSD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Re-experiencing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F4 cathode (L-DLPFC up) + TPS frontal + right temporal + taVNS primary + CES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Avoidance-Dominant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TPS frontal + taVNS primary; pair with graduated exposure hierarchy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Hyperarousal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CES primary (daily) + taVNS primary + tDCS F3 anode / Fpz cathode + TPS frontal</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Dissociative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 primary + CES + tDCS F3/F4 bilateral (low intensity) + TPS frontal; avoid high stimulation intensity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Complex PTSD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 TPS frontal comprehensive + taVNS primary + CES; extended treatment block</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TBI Comorbid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 Cz (TBI processing) + TPS frontal + taVNS + CES; address TBI network first</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Depression Comorbid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F4 cathode + TPS frontal + taVNS primary + CES daily; integrated PTSD-MDD protocol</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Nightmare-Dominant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 (pre-sleep primary) + taVNS (evening) + tDCS Fpz / F3 cathode + TPS frontal supportive</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