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TRAUMATIC BRAIN INJURY</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Traumatic Brain Injury (TBI).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Traumatic Brain Injury (TBI)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TBI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TBI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TBI Status</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cognitive rehabilitation post-TBI</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vagal neuroprotection and pain modulation</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headache, sleep, mood component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Traumatic Brain Injury is INVESTIGATIONAL at SOZO Brain Center. It is not CE-marked or FDA-approved for TBI.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TBI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Traumatic Brain Injury (TBI).</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TBI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TBI treatment. Where cognitive capacity is reduced, an authorised representative must provide consent.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TBI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emerging evidence for cognitive and mood rehabilitation post-TBI</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neuroprotection, pain, and autonomic modulation post-TBI</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post-TBI headache, sleep, and anxiety component</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TBI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Headache (frequency and intensity)</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(sustained focus difficulty)</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Memory (short-term recall, working memory)</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Processing speed (mental slowing)</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Balance and dizziness</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(cognitive and physical)</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Light sensitivity (photophobia)</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Noise sensitivity (phonophobia)</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Mood / irritability</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Frustration tolerance</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function</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Motivation</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Word-finding difficulty</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Decision-making impairment</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Post-Concussion, Executive-Dominant, Headache-Dominant, Behavioural, Vestibular, Fatigue-Dominant, Memory-Impaired, Processing Speed, or Sleep-Dominant.</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TBI: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Post-Concussion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Diffuse CEN-SN-DMN disruption; widespread network inefficiency; multisymptom mild TBI presentation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fragmentation (frontal lobe impact); planning, inhibition, and cognitive flexibility impairment</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sensitisation (central sensitisation + trigeminal pathway); pain-attention network coupling</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CEN-LIMBIC dysregulation (orbitofrontal / temporal injury); disinhibition, impulsivity, emotional lability</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Vestibular</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SMN-cerebellar-ATTENTION pathway disruption; balance, dizziness, and oculomotor network impairment</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Global network energy impairment; thalamo-cortical modulation disruption; cognitive fatigue circuit</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Memory-Impaired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DMN-hippocampal network disruption + CEN working memory deficit; encoding and retrieval impairment</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Processing Speed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Diffuse white matter disruption (axonal injury); CEN-ATTENTION network slowing; reaction time impairment</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(TBI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current medications (analgesics, neuroprotective agents, antidepressants, sleep aids) — dose, timing, last administration; note headache status today</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(TBI medication adherence, timing of last dose, headache rating and fatigue level at session start)</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working memory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cognitive rehabilitation (task-switching, planning tasks, structured problem-solving)</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Cz / Fz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Processing speed / attention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Reaction time tasks, visual vigilance (CPT), simple go/no-go paradigm</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Pz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 / DMN modulation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Structured recall tasks, spaced repetition, verbal and visual memory exercises</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cathode / F3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arousal reduction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guided breathing, biofeedback; reduce screen exposure during session</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CES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 and pain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Slow breathing, body scan, paced activity scheduling; no high-effort cognitive load</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PCSS cognitive items + objective cognitive screen (MoCA or processing speed battery)</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Pain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headache frequency and intensity (PRS headache item + headache diary)</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fatigue severity (PRS fatigue item) and improved activity tolerance and daily functioning</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Mood /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mood, irritability, and social/occupational function (PRS secondary + patient-reported)</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TBI symptom recovery is non-linear and confounded by spontaneous recovery, sleep quality, and psychological factors. Standardise assessment conditions between baseline and follow-up. Acute illness, stress events, or medication changes in the preceding two weeks must be documented. Distinguish NIBS-attributable change from ongoing spontaneous neurological recovery, particularly in the first 12 months post-injury.</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TBI diagnosis (mild, moderate, or severe; specialist-confirmed with CT/MRI or clinical criteria)</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Persistent post-TBI symptoms causing functional impairment (&gt;3 months from injury for mild TBI)</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16+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TBI outcome measures (PCSS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at or near planned stimulation sites</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craniotomy (within 12 months; requires specialist review)</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haemorrhage or unstable intracranial pathology</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 and no available legal representative</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Post-TBI epilepsy or seizure history (requires neurology clearance)</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cognitive impairment limiting cooperation and consent capacity</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psychiatric comorbidity (PTSD, severe depression) requiring stabilisation first</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substance abuse</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 — check INR/platelets before session)</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Acute post-TBI phase (&lt;3 months) — use only with neurology specialist approval</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TBI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Post-Concussion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TPS frontal + taVNS + CES daily; low-intensity graduated protocol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(2 mA) + TPS frontal targeted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(daily) + taVNS (pain/autonomic) + tDCS Fpz cathode + TPS frontal (low energy); avoid temporal TPS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TPS orbitofrontal / temporal + taVNS + CES (behavioural regulation)</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Vestibular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 cerebellar (Cz + C7 posterior) + TPS cranial + peripheral vestibular-cervical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anode / Fpz cathode + TPS frontal + taVNS primary + CES daily; strict energy management</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Memory-Impaired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P3/P4 anode (temporal-parietal) + F3/F4 supportive + TPS cranial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Processing Speed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F3/F4 bilateral + Cz/FCz + TPS frontal + taVNS; pair with reaction time and speed-of-processing tasks</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