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TINNITUS</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Tinnitus (Chronic).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Tinnitus (Chronic)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TIN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TIN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Tinnitus Status</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 — auditory cortex modulation</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auditory-vagal pathway</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Cleared (FDA 510k) — anxiety/insomnia comorbidity</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Tinnitus is INVESTIGATIONAL at SOZO Brain Center. It is not CE-marked or FDA-approved for TIN.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TIN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Tinnitus (Chronic).</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TIN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Tinnitus treatment.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Tinnitus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auditory cortex and DLPFC modulation for tinnitus suppression</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 auditory-vagal pathway modulation (paired VNS protocol)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Cleared for anxiety/insomnia; supportive for tinnitus distress component</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TIN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Tinnitus loudness (perceived intensity)</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Tinnitus distress (emotional impact)</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Intrusiveness (interruption of daily activities)</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Sound sensitivity (hyperacusis / misophonia)</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Concentration impact</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Severity in quiet environments</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Perceived hearing difficulty</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Effectiveness of masking / sound therapy</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onset difficulty</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maintenance problems</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Depression / low mood</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Anxiety / worry</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Irritability</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avoidance (due to tinnitus)</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Work / occupational impact</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Ability to relax</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Tonal, Noise-Like, Pulsatile, Reactive, Somatic, Hyperacusis-Dominant, Depression Comorbid, Insomnia Comorbid, or Anxiety Comorbid.</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TIN: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Tonal</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Primary auditory cortex hyperactivation, tonotopic map reorganisation, SN amplification</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Noise-Like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Diffuse auditory network hyperactivation, SN-auditory overcoupling</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Pulsatile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Vascular-auditory coupling; SN sensitisation to rhythmic input — vascular origin must be ruled out</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Reactive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hyperresponsivity (sound-triggered amplification), LIMBIC-auditory coupling</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Somatic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Somatosensory-auditory cross-modal interaction (SMN-auditory network), cervical/jaw involvement</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Hyperacusis-Dominant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threshold dysregulation, central auditory gain amplification, LIMBIC threat coupling</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Depression Comorbid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hyperactivation + CEN hypofunction + DMN rumination on tinnitus signal</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Insomnia Comorbid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hyperarousal + LIMBIC-auditory coupling preventing sleep-onset inhibition</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(TIN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current medications (sound therapy devices in use, anxiolytics, antidepressants) — dose, timing; note tinnitus loudness rating for today</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(tinnitus-related medications and sound therapy adherence, timing of last dose)</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T3/TP7 cathode (L auditory cortex)</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Auditory cortex downregulation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Sound therapy / notched music listening during stimulation</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T3 cathode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Attention retraining</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Tinnitus retraining therapy (TRT) attention exercises; mindfulness of external sounds</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Distress / emotional response</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restructuring exercises; acceptance and commitment therapy (ACT) audio</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Fpz / F3 cathode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Anxiety / sleep preparation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Relaxation response training; progressive muscle relaxation; slow breathing</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 CES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Auditory-vagal and arousal</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Paired VNS sound protocol (target tone presentation) + relaxation</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Loudness / Intrusiveness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reduction in tinnitus loudness or intrusiveness (PRS) + THI score improvement</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Distress / Emotional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tinnitus-related distress (PRS) and improvement in emotional response to tinnitus</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sleep onset latency and sleep maintenance (PRS) with reduced nocturnal tinnitus interference</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Function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daily living function, reduced social avoidance, improved work performance (patient-reported)</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Tinnitus perception fluctuates with fatigue, stress, and ambient noise exposure. Standardise assessment conditions between baseline and follow-up — same time of day, same quiet environment, same rating method. Document acoustic environment changes, noise exposure events, or significant stress changes that may confound SOZO PRS comparison.</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chronic tinnitus (duration ≥3 months; audiological assessment completed)</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Tinnitus causing functional distress or impairment (THI moderate or above, or PRS score ≥4)</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18+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tinnitus outcome measures (THI or equivalent)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 (stimulation near cochlea path — requires specialist review)</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Meniere's disease or vestibular disorder (requires ENT clearance)</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hyperacusis with inability to tolerate any environmental sound during session</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severe depression or suicidal ideation (requires psychiatric clearance first)</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Pulsatile tinnitus of vascular origin (requires vascular investigation before stimulation)</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TIN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Tonal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T3/TP7 cathode (L auditory cortex inhibition) + F3 anode (DLPFC up) + TPS temporal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Noise-Like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T3/TP7 + F3/F4 bilateral + TPS bilateral temporal + taVNS + CES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Pulsatile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Specialist vascular review first; if cleared: tDCS F3/F4 + TPS frontal + taVNS; avoid temporal TPS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Reactive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T3 cathode + TPS temporal (low energy)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Somatic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C3/C4 + Cz (somatosensory-auditory) + TPS temporal + peripheral cervical/jaw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Hyperacusis-Dominant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primary (daily) + taVNS primary + tDCS T3 cathode / F3 anode; TPS deferred until hyperacusis reduced</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Depression Comorbid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(L-DLPFC up) + TPS frontal + taVNS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Insomnia Comorbid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Fpz cathode / F3 anode + TPS frontal + taVNS (pre-sleep) + CES primary (pre-sleep)</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