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CHRONIC PAIN / FIBROMYALGIA</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Chronic Pain / Fibromyalgia (CP).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Chronic Pain / Fibromyalgia (CP)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CP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CP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Meta-analysis</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Chronic Pain / Fibromyalgia is INVESTIGATIONAL at SOZO Brain Center. It is not CE-marked or FDA-approved for CP.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CP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Chronic Pain / Fibromyalgia (CP).</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CP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Chronic Pain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Chronic Pain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Established NIBS; Level B evidence for M1 and DLPFC montages in chronic pain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 vagal anti-inflammatory pathway and descending pain inhibition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 510k cleared for pain, anxiety, and insomnia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CP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Pain intensity (average over past week)</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Pain frequency (proportion of waking hours in pain)</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Pain interference with activities</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Tenderness / allodynia</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Stiffness (morning or movement-related)</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(pain-related exhaustion)</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Physical function (ability to perform daily tasks)</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Flare frequency and severity</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 (pain-disturbed sleep)</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Cognitive fog (fibro-fog)</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withdrawal (due to pain)</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dependence</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Exercise tolerance</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Overall quality of life</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Nociceptive, Neuropathic, Nociplastic, Fibromyalgia, CRPS, Musculoskeletal, Headache/Migraine, Visceral, or Pain-Depression Comorbid.</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Nociceptive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Peripheral nociceptor activation with intact central processing; SN activation proportionate to tissue damage</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Neuropathic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Peripheral or central nervous system damage; SN sensitisation + SMN dysregulation; burning/shooting quality</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Nociplastic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Central sensitisation without tissue damage; SN global hypersensitivity; DMN pain rumination amplification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Fibromyalgia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Widespread nociplastic pain; SN hyperactivation + DMN rumination + CEN hypofunction (fibro-fog)</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CRPS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Sympathetic-somatic coupling; SMN-SN dysregulation; severe allodynia; autonomic network involvement</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Musculoskeletal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Peripheral nociceptive + SN amplification; localised SMN involvement; activity-related pattern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 / Migraine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Trigeminovascular-SN pathway sensitisation; cortical spreading depression; ATTENTION network disruption</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Pain-Depression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SN-LIMBIC overcoupling; bidirectional pain-mood amplification; CEN hypofunction (catastrophising)</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(CP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analgesic medication (name, dose, timing of last dose, opioid status if applicable); note current pain rating (NRS 0–10)</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(analgesic adherence, timing of last dose, current pain NRS rating at session start)</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M1 anode (C3/C4 contralateral)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Descending pain inhibition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Graded motor imagery, mirror box therapy, gentle repetitive movement tasks</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Pz cathode (DLPFC 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 catastrophising /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 acceptance exercises (ACT), cognitive defusion, pleasant imagery</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and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Mindfulness-based pain management, structured pacing and activity scheduling</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 peripheral + taVNS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Peripheral pain + vagal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Passive positioning, progressive relaxation, breathing exercises — no active movement required</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 + taVNS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and anxiety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Relaxation response training, sleep hygiene education, slow breathing</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 Intensity / Frequency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reduction in NRS (≥30%) + PRS pain intensity and frequency items</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Physical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Improved physical activity tolerance, daily task completion, and PRS functional items</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 Fatigue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sleep quality (PRS secondary) and reduced pain-related fatigue (PRS fatigue item)</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Mood / Quality of Life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depression/anxiety (PRS secondary) and global quality of life rating</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Chronic pain fluctuates with weather, activity level, sleep quality, and medication timing. Standardise baseline and follow-up assessments — same time of day, same medication state relative to last dose, and same physical activity level in the preceding 24 hours. Flare events in the week prior to assessment must be documented before interpreting SOZO PRS changes.</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chronic pain condition (≥3 months duration; specialist-diagnosed or GP-referred with documented history)</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to severe pain interference with function (NRS ≥5 average, or PRS ≥5)</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pain outcome measures (NRS + BPI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 or stimulation target regions (skin)</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CRPS Stage II/III — active sympathetically-maintained pain (requires specialist review for TPS)</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substance abuse or opioid dependence (requires pain specialist co-management)</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psychiatric comorbidity (severe depression, suicidal ideation)</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 — assess peripheral application sites)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 or TPS peripheral application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Implanted spinal cord stimulator or peripheral nerve stimulator (requires specialist review)</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CP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Nociceptive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M1 anode (C3/C4) + TPS peripheral (pain ROIs) + taVNS + CES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Neuropathic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M1 anode (contralateral C3/C4) + F3 anode / Pz cathode + TPS peripheral nerve pathway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Nociplastic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M1 anode + TPS cranial + peripheral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Fibromyalgia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M1 anode (C3/C4) + TPS cranial + peripheral widespread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CRPS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contralateral M1 anode + TPS peripheral (affected limb) + taVNS primary; start low intensity; specialist review</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Musculoskeletal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M1 anode (C3/C4) + TPS peripheral (affected muscle group) + taVNS + CES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 / Migraine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 taVNS + tDCS Fpz cathode / F3 anode + TPS cranial (low energy); avoid during acute migraine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Pain-Depression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 anode / F4 cathode (L-DLPFC up) + M1 anode + TPS frontal + peripheral + taVNS + CES daily</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