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LONG COVID / POST-COVID SYNDROME</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Long COVID / Post-COVID Syndrome (LC).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Long COVID / Post-COVID Syndrome (LC)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LC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LC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Case series</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INVESTIGATIONAL OFF-LABEL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Observational</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Long COVID / Post-COVID Syndrome is INVESTIGATIONAL at SOZO Brain Center. It is not CE-marked or FDA-approved for LC.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LC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Long COVID / Post-COVID Syndrome (LC).</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LC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Long COVID treatment.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Long COVID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emerging evidence for cognitive rehabilitation in LC</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 primary vagal/autonomic modulation for LC</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Off-label supportive — anxiety, mood, and fatigue components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LC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fog (cognitive cloudiness)</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Fatigue (physical and mental)</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Post-exertional malaise (worsening after activity)</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Memory difficulties (working / episodic)</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Concentration and sustained attention</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Word-finding difficulties</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Processing speed (mental sluggishness)</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Headache / head pressure</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Depression / low mood</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Anxiety</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quality</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Heart rate variability / palpitations</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Breathlessness at rest or with minimal exertion</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Muscle aches and pain</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Dizziness / orthostatic intolerance</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and occupational function</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Cognitive Fog, Fatigue-Dominant, Dysautonomia, Neuropsychiatric, Headache/Pain, Exercise Intolerance, Sleep-Dominant, Anosmia/Ageusia, or Multi-System.</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LC: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Fog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 hypofunction (processing speed, working memory), DMN-CEN decoupling</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Global network energy deficit, SN sensitisation, reduced thalamo-cortical modulation</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Dysautonomia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dysregulation (autonomic instability), reduced vagal tone, LIMBIC amplification</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Neuropsychiatric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hyperactivation (depression/anxiety), SN threat amplification, DMN rumination</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Headache / Pain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sensitisation (central sensitisation), DMN pain processing, descending inhibition failure</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Exercise Intolerance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SMN deconditioning, SN post-exertional amplification, autonomic network disruption</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hyperarousal (insomnia-type), LIMBIC dysregulation, circadian network disruption</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Multi-System</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Widespread network dysfunction; prioritise most disabling symptom cluster for initial FNON targeting</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(LC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current medications (symptom-targeted agents, anticoagulants, antidepressants) — dose, timing, and adherence; note any recent symptom crashes</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(Long COVID symptom-targeted medications, timing of last dose, any post-exertional malaise since last session)</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rehabilitation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Graded computerised cognitive training (n-back, processing speed tasks) — low-intensity, paced</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Cz/Fz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 and attention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Mindfulness-based attention task, gentle breathing regulation, body scan</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Pz cathode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Memory / word-finding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Verbal fluency tasks, word association, structured recall exercises</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Fpz / F3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Arousal modulation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Relaxation response training, heart rate variability biofeedback (with taVNS)</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 + taVNS (no tDCS)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Autonomic stabilisation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Slow breathing (5 breaths/min), parasympathetic activation protocol</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 Brain Fog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improvement in cognitive PRS items + objective cognitive screen (MoCA or equivalent)</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fatigue severity score (PRS) and improved post-exertional tolerance (patient-reported)</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Autonomic / Dysautonomia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Improved heart rate variability, reduced POTS severity, reduced dizziness frequency</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Mood / 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PHQ-9 / GAD-7 equivalent and return to occupational / social participation</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Long COVID symptoms fluctuate significantly. Standardise assessment conditions between baseline and follow-up, including time of day, exertion level in the 48 hours prior, and medication adherence. Post-exertional malaise episodes in the preceding week must be documented and factored into SOZO PRS interpretation.</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Long COVID / Post-COVID Syndrome (WHO 2021 definition; symptoms ≥12 weeks post-infection)</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Cognitive or fatigue symptoms causing functional impairment</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cognitive outcome measures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cardiac dysrhythmia or active cardiopulmonary instability</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Unstable autonomic dysfunction with severe POTS or syncope</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psychosis or severe psychiatric instability</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post-exertional malaise with inability to tolerate minimal stimulation</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LC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Fog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(2 mA, 20 min) + TPS frontal + temporal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Cz anode / Fpz cathode + TPS cranial + taVNS primary + CES daily (pre-session)</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Dysautonomia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 primary (vagal regulation, 2–4 h/day) + CES daily + tDCS F3/F4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Neuropsychiatric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(L-DLPFC up) + TPS frontal + taVNS + CES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Headache / Pain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M1 (C3/C4 anode) + TPS cranial + peripheral cervical + taVNS + CES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Exercise Intolerance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Cz/F3 graded protocol + TPS cranial + taVNS primary + CES supportive; strict session pacing</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Fpz / F3 cathode (frontal inhibition) + TPS frontal + taVNS (pre-sleep) + CES primary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Multi-System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FNON alternating strategy: alternate cognitive and autonomic blocks per week; reassess at 4 weeks</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