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OBSESSIVE-COMPULSIVE DISORDER</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Obsessive-Compulsive Disorder (OCD).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Obsessive-Compulsive Disorder (OCD)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OCD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OCD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Obsessive-Compulsive Disorder is INVESTIGATIONAL at SOZO Brain Center. It is not CE-marked or FDA-approved for OCD.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OCD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Obsessive-Compulsive Disorder (OCD).</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OCD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OCD treatment.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OCD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SMA inhibition and DLPFC upregulation for OCD symptom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 autonomic and CSTC circuit modulation for OCD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Off-label supportive — anxiety and depression components in OCD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OCD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Obsession frequency (how often obsessions occur)</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Obsession distress (level of anxiety or distress caused)</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Time spent on obsessions (hours per day)</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Compulsion frequency (how often compulsions are performed)</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Compulsion distress (distress if compulsions are resisted)</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Resistance ability (capacity to resist compulsions)</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Control over obsessions (ability to dismiss them)</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Insight (recognition that obsessions/compulsions are excessive)</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 severity</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Depression / low mood</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Avoidance behaviours</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and relational impairment</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Work and occupational impact</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quality</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Decision-making difficulty</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Frustration and shame</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Contamination, Symmetry/Ordering, Harm/Checking, Hoarding, Pure Obsessional, Treatment-Resistant, Tic-Related, Insight-Poor, or OCD-Depression Comorbid.</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OCD: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Contamination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OFC-caudate hyperactivation (disgust circuit); SN threat detection for contamination cues; CEN inhibitory failure</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Symmetry / Ordering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SMA-putamen loop hyperactivation; sensorimotor 'not-just-right' experience; SMN-CEN coupling</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Harm / Checking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OFC-DLPFC-caudate hyperactivation; doubt and error-detection amplification; SN-CEN failure to resolve uncertainty</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Hoarding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Frontal-limbic dysregulation; decision-making network impairment; excessive attachment circuitry activation</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Pure Obsessional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Intrusive thought network (DMN-SN coupling); CEN suppression failure for unwanted thoughts; LIMBIC amplification</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Treatment-Resistant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CSTC circuit deeply entrenched; low insight; multi-network rigidity; poor prefrontal modulation</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Tic-Related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SMN-SMA-basal ganglia loop dysregulation; sensorimotor urge circuit (SMN) + OCD network co-activation</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Insight-Poor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CEN-mediated insight network impairment; reduced ability to evaluate obsession excessiveness; frontal hypoactivation</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(OCD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SSRI / clomipramine (name, dose, timing of last dose, adherence, duration of current regimen); note today's obsession severity rating</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(SSRI/clomipramine adherence, timing of last dose, OCD symptom severity rating at session start)</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SMA inhibition (Cz cathode / F3 anode)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Compulsion urge reduction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ERP (Exposure and Response Prevention) hierarchy exercises — resist compulsion during stimulation</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 insight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 restructuring, OCD thought record, meta-cognitive therapy exercises</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F4 cathode (L-DLPFC 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Anxiety / decision-making</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Uncertainty tolerance exercises, decision-making drills, CAT-based flexibility training</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Fpz / F3 cathode (frontal inhibition)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Hyperarousal / anxiety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Relaxation response, diaphragmatic breathing, progressive muscle relaxation</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 CES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Autonomic and anxiety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Guided parasympathetic activation, slow breathing (5 breaths/min), mindfulness of OCD thoughts</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Obsessions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reduction in Y-BOCS obsession subscale (≥35%) + PRS obsession frequency and distress items</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Compulsions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compulsion frequency and distress (Y-BOCS compulsion subscale + PRS items)</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Insight / Control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Improved insight and resistance ability (Y-BOCS insight items + PRS control items)</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Function / Anxiety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Better social and occupational function, reduced anxiety and avoidance (PRS secondary items)</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OCD symptoms fluctuate with stress, life changes, and the natural waxing/waning course of the disorder. Standardise assessment conditions between baseline and follow-up. Document concurrent ERP (Exposure and Response Prevention) therapy milestones, medication changes, and significant life stressors when interpreting SOZO PRS changes. OCD insight variability must be considered when comparing self-rated scores.</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OCD diagnosis (DSM-5 / ICD-11 criteria; Y-BOCS ≥16 or equivalent)</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Moderate to severe OCD burden causing significant functional impairment</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16+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OCD outcome measures (Y-BOCS or OCI-R)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in stimulation path</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recent craniotomy</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tumour</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Epilepsy or seizure history</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insight impairment (Y-BOCS insight item 0) — requires careful consent assessment</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psychosis (OCD with poor insight must be distinguished from psychosis)</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severe depression with suicidal ideation (requires psychiatric stabilisation first)</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Hoarding disorder with severe environmental obstacles — home-use safety assessment required</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OCD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Contamination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SMA cathode (Cz) + TPS frontal OFC vicinity + taVNS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Symmetry / Ordering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SMA cathode (Cz) + F3/F4 bilateral + TPS SMA / frontal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Harm / Checking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SMA cathode + TPS frontal + taVNS primary + CES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Hoarding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OFC vicinity + TPS frontal + taVNS + CES (decision-making tasks)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Pure Obsessional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 anode / Cz cathode + TPS frontal + taVNS primary + CES; pair with metacognitive therapy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Treatment-Resistant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SMA cathode + TPS frontal comprehensive + taVNS primary + CES daily</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Tic-Related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SMA cathode (Cz) + M1 supportive + TPS SMA + frontal + taVNS; target both tic and OCD circuits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Insight-Poor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F3/F4 bilateral DLPFC + TPS frontal + taVNS + CES; pair with motivational interviewing</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