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POST-STROKE REHABILITATION</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Post-Stroke Rehabilitation (Stroke).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Post-Stroke Rehabilitation (Stroke)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Stroke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Stroke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Meta-analysis</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Post-Stroke Rehabilitation is INVESTIGATIONAL at SOZO Brain Center. It is not CE-marked or FDA-approved for stroke rehabilitation.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Stroke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Post-Stroke Rehabilitation (Stroke).</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Stroke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stroke rehabilitation. Where capacity is reduced (aphasia, cognitive impairment), alternative consent pathways must be followed.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Stroke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Established NIBS; Level A/B evidence for motor rehabilitation post-stroke</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paired VNS for aphasia and motor rehabilitation adjunct</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post-stroke depression, fatigue, and sleep</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Stroke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 / caregiver-rated):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Arm / hand strength (affected side)</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Leg strength and mobility (affected side)</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Hand dexterity and fine motor control</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Walking ability (distance, speed, safety)</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Balance (standing and walking balance)</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Speech clarity and expression (if aphasia present)</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Swallowing function (dysphagia severity)</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Facial movement (if facial palsy present)</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Post-stroke fatigue</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Post-stroke depression</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Cognitive clarity (attention, memory, processing)</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Central post-stroke pain</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Visual field and spatial awareness</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Spatial neglect (if present)</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Independence in activities of daily living (ADL)</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Motor Upper Limb, Motor Lower Limb, Aphasia, Spatial Neglect, Cognitive, Spasticity-Dominant, Dysphagia, Post-Stroke Depression, or Central Pain.</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Stroke: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Upper Limb</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Contralateral SMN disruption (M1 lesion or tract damage); ipsilateral SMN compensatory recruitment</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Lower Limb</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SMN-cerebellar-SMA pathway disruption; gait initiation and balance network impairment</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Aphasia</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Left hemisphere language network damage; Broca's / Wernicke's area involvement; CEN-language disconnection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Spatial Neglect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Right parietal-ATTENTION network damage; visuospatial network disruption; SN lateralisation failure</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and ATTENTION network damage; post-stroke cognitive impairment; DMN disruption</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Spasticity-Dominant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 hyperexcitability (inhibitory circuit damage); upper motor neuron syndrome with reflex arc disinhibition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Dysphagia</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Bilateral cortical swallowing network (opercular, SMA) disruption; unilateral impairment often recovers spontaneously</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Post-Stroke Depression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network disruption + SN dysregulation; CEN hypofunction; emotional processing impairment</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(Stroke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anticoagulant / antithrombotic medication (name, dose, timing of last dose, INR if on warfarin); note current functional status vs. last session</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(anticoagulant adherence, timing of last dose, any changes in neurological status since last session)</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Contralateral M1 anode (C3 or C4)</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upper limb</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Repetitive task-specific upper limb training (grasp, reach, functional tasks)</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Contralateral M1 + SMA (C3/C4 + Cz)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lower limb / gait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Treadmill gait training, stepping exercises, physiotherapy-guided repetition</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F3/T3 (left hemisphere language)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Aphasia</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Speech-language therapy sessions (picture naming, repetition) — paired VNS protocol preferred</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P3/P4 (parietal attention)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Neglect / spatial awareness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Visual scanning training, prism adaptation, visuospatial rehabilitation tasks</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rehabilitation tasks (attention, memory), structured behavioural activation</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Fugl-Meyer or equivalent motor assessment + PRS motor items; improved MAS</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Gait / Balance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Improved 10m walk test, TUG, and/or Berg Balance Scale + PRS walking and balance items</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Language / Communication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aphasia battery (WAB or equivalent) and/or PRS speech items; functional communication gain</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ADL / Mood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Barthel ADL score, improved post-stroke depression (PHQ-9 equivalent), and PRS secondary domain improvement</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Post-stroke recovery includes spontaneous neurological recovery (Brunnstrom stages) that may confound treatment response attribution. Standardise assessment conditions between baseline and follow-up, documenting stroke chronicity and any intercurrent events. Clearly distinguish NIBS-attributable improvement from spontaneous recovery by anchoring response criteria to the chronic phase (&gt;3 months post-stroke).</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ischaemic or haemorrhagic stroke (CT/MRI confirmed; specialist-diagnosed)</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Chronic stroke phase (≥3 months post-event; beyond peak spontaneous recovery window) or subacute with specialist approval</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 (with caregiver if needed)</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(patient with capacity, or guardian/representative for reduced capacity)</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functional outcome measures (Barthel or MAS)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 or in vicinity of lesion</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 (within 6 months of planned stimulation site)</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haemorrhage or unstable lesion</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 and no available legal representative</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Post-stroke 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cognitive impairment limiting cooperation and outcome measurement</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cardiovascular status or recent cardiac event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Spasticity so severe it prevents safe device placement</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 TPS requires haematology clearance; check INR before each TPS session</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aphasia limiting consent capacity — use supported consent process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post-stroke depression with suicidal ideation — psychiatric stabilisation first</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Stroke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Upper Limb</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contralateral M1 anode (C3/C4) + ipsilateral M1 inhibition + TPS perilesional + peripheral (affected hand)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Lower Limb</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 SMA anode + TPS cranial + peripheral (soles, affected leg)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Aphasia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F3/T3 left hemisphere anode + TPS left frontal + temporal + taVNS (paired language therapy protocol)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Spatial Neglect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P4 inhibition (right parietal up) + P3 facilitation + TPS right parietal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P3/P4 anode + TPS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Spasticity-Dominant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contralateral M1 cathode (inhibitory, affected side) + TPS cranial + peripheral spastic muscles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Dysphagia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bilateral motor cortex (swallowing area, C3/C4 up) + TPS cranial bilateral + taVNS (paired swallowing therapy)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Post-Stroke Depression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F4 cathode (L-DLPFC up) + TPS frontal + taVNS primary + CES daily</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