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TINNITUS</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Tinnitus (Chronic).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Tinnitus (Chronic)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TIN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TIN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 RCT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Tinnitus is INVESTIGATIONAL at SOZO Brain Center. It is not CE-marked or FDA-approved for TIN.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TIN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Tinnitus (Chronic).</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TIN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Tinnitus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Tinnitus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auditory cortex and DLPFC modulation for tinnitus suppression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 auditory-vagal pathway modulation (paired VNS protocol)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Cleared for anxiety/insomnia; supportive for tinnitus distress component</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TIN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Tinnitus loudness (perceived intensity)</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Tinnitus distress (emotional impact)</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Intrusiveness (interruption of daily activities)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Sound sensitivity (hyperacusis / misophonia)</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impact</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Severity in quiet environments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Perceived hearing difficulty</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Effectiveness of masking / sound therapy</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onset difficulty</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maintenance problems</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 / worry</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Irritability</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avoidance (due to tinnitus)</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Work / occupational impact</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Ability to relax</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Tonal, Noise-Like, Pulsatile, Reactive, Somatic, Hyperacusis-Dominant, Depression Comorbid, Insomnia Comorbid, or Anxiety Comorbid.</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TIN: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Tonal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Primary auditory cortex hyperactivation, tonotopic map reorganisation, SN amplification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Noise-Like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Diffuse auditory network hyperactivation, SN-auditory overcoupling</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Pulsatile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Vascular-auditory coupling; SN sensitisation to rhythmic input — vascular origin must be ruled out</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Reactive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hyperresponsivity (sound-triggered amplification), LIMBIC-auditory coupling</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Somatosensory-auditory cross-modal interaction (SMN-auditory network), cervical/jaw involvement</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Hyperacusis-Dominant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threshold dysregulation, central auditory gain amplification, LIMBIC threat coupling</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 CEN hypofunction + DMN rumination on tinnitus signal</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hyperarousal + LIMBIC-auditory coupling preventing sleep-onset inhibition</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(TIN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current medications (sound therapy devices in use, anxiolytics, antidepressants) — dose, timing; note tinnitus loudness rating for today</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(tinnitus-related medications and sound therapy adherence, timing of last dose)</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T3/TP7 cathode (L auditory cortex)</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Auditory cortex downregulation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Sound therapy / notched music listening during stimulation</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T3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retraining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Tinnitus retraining therapy (TRT) attention exercises; mindfulness of external sounds</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Distress / emotional response</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restructuring exercises; acceptance and commitment therapy (ACT) audio</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 F3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Anxiety / sleep preparation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training; progressive muscle relaxation; slow breathing</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CES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Auditory-vagal and arousal</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Paired VNS sound protocol (target tone presentation) + relaxation</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Loudness / Intrusiveness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tinnitus loudness or intrusiveness (PRS) + THI score improvement</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Distress / Emotional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tinnitus-related distress (PRS) and improvement in emotional response to tinnitus</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sleep onset latency and sleep maintenance (PRS) with reduced nocturnal tinnitus interference</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daily living function, reduced social avoidance, improved work performance (patient-reported)</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Tinnitus perception fluctuates with fatigue, stress, and ambient noise exposure. Standardise assessment conditions between baseline and follow-up — same time of day, same quiet environment, same rating method. Document acoustic environment changes, noise exposure events, or significant stress changes that may confound SOZO PRS comparison.</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chronic tinnitus (duration ≥3 months; audiological assessment completed)</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Tinnitus causing functional distress or impairment (THI moderate or above, or PRS score ≥4)</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tinnitus outcome measures (THI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 (stimulation near cochlea path — requires specialist review)</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Meniere's disease or vestibular disorder (requires ENT clearance)</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hyperacusis with inability to tolerate any environmental sound during session</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severe depression or suicidal ideation (requires psychiatric clearance first)</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Pulsatile tinnitus of vascular origin (requires vascular investigation before stimulation)</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TIN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Tonal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T3/TP7 cathode (L auditory cortex inhibition) + F3 anode (DLPFC up) + TPS temporal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Noise-Like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T3/TP7 + F3/F4 bilateral + TPS bilateral temporal + taVNS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Pulsatile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Specialist vascular review first; if cleared: tDCS F3/F4 + TPS frontal + taVNS; avoid temporal TPS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Reactive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T3 cathode + TPS temporal (low energy)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C3/C4 + Cz (somatosensory-auditory) + TPS temporal + peripheral cervical/jaw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Hyperacusis-Dominant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(daily) + taVNS primary + tDCS T3 cathode / F3 anode; TPS deferred until hyperacusis reduced</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taVNS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Fpz cathode / F3 anode + TPS frontal + taVNS (pre-sleep) + CES primary (pre-sleep)</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