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ATTENTION DEFICIT HYPERACTIVITY DISORDER (ADHD)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ADHD Relevance: </w:t>
      </w:r>
      <w:r>
        <w:rPr>
          <w:sz w:val="20"/>
        </w:rPr>
        <w:t>Cannot suppress. ADHD is characterised by failure to deactivate DMN during goal-directed tasks. mPFC-PCC connectivity is reduced, allowing task-unrelated thoughts and daydreaming to intrude continuously.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Task-unrelated thought intrusion during tasks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 mind-wandering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Daydreaming during interview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1=Occasional, 2=Frequent/obvious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Self-referential thought during tasks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 self-awareness, 2=Excessive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planning awareness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2=No future orientation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ADHD impact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0=Good insight, 1=Poor,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Cognitive fluctuations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0=Consistent, 1=Variable, 2=Hyperfocus/absent alternation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Mental restlessness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2=Uncontrollable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ADHD Relevance: </w:t>
      </w:r>
      <w:r>
        <w:rPr>
          <w:sz w:val="20"/>
        </w:rPr>
        <w:t>HYPO. PRIMARY NETWORK IN ADHD. DLPFC underactivation underpins working memory deficits, poor planning, and impaired inhibitory control. Reduced CEN-DMN anticorrelation is the ADHD network signature.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 / mental calculation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1=Slow/errors,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 (forward &amp; backward)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 span,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 &lt;12,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Planning (clock drawing)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 (perseveration test)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dual-task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ADHD Relevance: </w:t>
      </w:r>
      <w:r>
        <w:rPr>
          <w:sz w:val="20"/>
        </w:rPr>
        <w:t>Dysregulated switching. Impaired SN gating between DMN and CEN produces unstable task engagement. Reward sensitivity and impulse control failures reflect dACC and anterior insula dysfunction.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Impulsivity: interrupting/blurting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1=Occasional, 2=Constant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Interoception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2=Excessive restlessness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reactivity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1=Flat, 2=Labile/explosive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Reward sensitivity (immediate vs delayed)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2=Hypersensitive/impulsive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 ability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1=Impulsive switching, 2=Stuck in hyperfocus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monitoring (go/no-go)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1=Commission errors, 2=Severe impulsivity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ADHD Relevance: </w:t>
      </w:r>
      <w:r>
        <w:rPr>
          <w:sz w:val="20"/>
        </w:rPr>
        <w:t>HYPER. Hyperactivity and motor overflow reflect excessive SMA/M1 excitability. Fidgeting, motor restlessness, and impaired timing/rhythm reflect disrupted cortico-striatal motor circuits.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Motor restlessness / hyperactivity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1=Fidgeting, 2=Cannot remain seated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Fidgeting (hands/feet/objects)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0=None, 1=Mild, 2=Constant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Fine motor control (tapping rhythm)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1=Irregular, 2=Disorganised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Handwriting quality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1=Inconsistent, 2=Illegible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Motor overflow (mirror movements)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0=Absent, 1=Mild, 2=Prominent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Coordination (tandem walk)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1=Mild impairment, 2=Cannot perform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Response inhibition motor (stop-signal)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 SSRT, 2=Cannot inhibit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Timing and rhythm (tap to beat)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1=Slightly off, 2=Cannot maintain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ADHD Relevance: </w:t>
      </w:r>
      <w:r>
        <w:rPr>
          <w:sz w:val="20"/>
        </w:rPr>
        <w:t>Dysregulated. Dopamine-mediated reward pathway disruption drives impulsivity, emotional dysregulation (rejection-sensitive dysphoria), and inability to delay gratification via OFC dysfunction.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observation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1=Flat, 2=Labile/explosive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dysregulation probe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 RSD-type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/ task initiation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2=Cannot initiate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Reward sensitivity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1=Anhedonia, 2=Impulsive reward-seeking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Frustration tolerance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2=Explosive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1=Poor, 2=Dysregulated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ADHD Relevance: </w:t>
      </w:r>
      <w:r>
        <w:rPr>
          <w:sz w:val="20"/>
        </w:rPr>
        <w:t>HYPO/dysregulated. DAN hypoactivation produces inattention and failure to sustain goal-directed attention. VAN hyperresponsivity causes distractibility to task-irrelevant stimuli (attentional capture).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Sustained attention (continuous task)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Selective attention (Stroop)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Visual search / distractor filtering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1=Distracted, 2=Cannot filter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Orienting to irrelevant stimuli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1=Occasional, 2=Constant capture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Re-orienting back to task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1=Slow, 2=Cannot refocus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 variability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0=Stable, 1=Variable, 2=Extreme fluctuation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ADHD-Specific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mPFC/PCC tDCS to suppress DMN task-time intrusion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/ TPS FT3 — primary ADHD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CES for DMN/CEN switch normalisation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Cathodal SMA tDCS to reduce motor overflow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OFC-targeting tDCS for reward dysregulation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R-parietal tDCS / TPS FT5 for DAN enhancement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Inattentive  ☐ Hyperactive-Impulsive  ☐ Combined  ☐ Executive dysfunction  ☐ Emotional dysregulation  ☐ SCT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