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A5C"/>
          <w:sz w:val="32"/>
        </w:rPr>
        <w:t>SOZO BRAIN CENTER — PARTNERS TIER</w:t>
      </w:r>
    </w:p>
    <w:p>
      <w:pPr>
        <w:jc w:val="center"/>
      </w:pPr>
      <w:r>
        <w:rPr>
          <w:b/>
          <w:color w:val="2E75B6"/>
          <w:sz w:val="28"/>
        </w:rPr>
        <w:t>Clinical Examination Checklist</w:t>
      </w:r>
    </w:p>
    <w:p>
      <w:pPr>
        <w:jc w:val="center"/>
      </w:pPr>
      <w:r>
        <w:rPr>
          <w:color w:val="1B3A5C"/>
          <w:sz w:val="22"/>
        </w:rPr>
        <w:t>Stage 4 — Patient Journey | FNON Network-Based Assessment</w:t>
      </w:r>
    </w:p>
    <w:p>
      <w:pPr>
        <w:jc w:val="center"/>
      </w:pPr>
      <w:r>
        <w:rPr>
          <w:b/>
          <w:color w:val="7B2D8E"/>
          <w:sz w:val="22"/>
        </w:rPr>
        <w:t>🟣 FNON + Evidence-Based Assessment — Includes Brain Network Analysis</w:t>
      </w:r>
    </w:p>
    <w:p>
      <w:pPr>
        <w:jc w:val="center"/>
      </w:pPr>
      <w:r>
        <w:rPr>
          <w:b/>
          <w:color w:val="1B3A5C"/>
          <w:sz w:val="26"/>
        </w:rPr>
        <w:t>CHRONIC PAIN / FIBROMYALGIA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68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Details</w:t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Patient Name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DOB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Examining Doctor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</w:tbl>
    <w:p/>
    <w:p>
      <w:r>
        <w:rPr>
          <w:b/>
          <w:sz w:val="20"/>
        </w:rPr>
        <w:t xml:space="preserve">Scoring: </w:t>
      </w:r>
      <w:r>
        <w:rPr>
          <w:sz w:val="20"/>
        </w:rPr>
        <w:t>HYPO (1)  |  NORMAL (0)  |  HYPER (2)</w:t>
      </w:r>
    </w:p>
    <w:p/>
    <w:p>
      <w:pPr>
        <w:pStyle w:val="Heading1"/>
        <w:jc w:val="left"/>
      </w:pPr>
      <w:r>
        <w:t>Section A: 6-Network Bedside Assessment</w:t>
      </w:r>
    </w:p>
    <w:p>
      <w:r>
        <w:rPr>
          <w:b/>
          <w:color w:val="7B2D8E"/>
          <w:sz w:val="20"/>
        </w:rPr>
        <w:t>Network assessment maps patient symptoms to functional brain networks for FNON-based montage selection.</w:t>
      </w:r>
    </w:p>
    <w:p>
      <w:pPr>
        <w:pStyle w:val="Heading2"/>
        <w:jc w:val="left"/>
      </w:pPr>
      <w:r>
        <w:t>1. Default Mode Network (DMN) — Max Score: 14</w:t>
      </w:r>
    </w:p>
    <w:p>
      <w:r>
        <w:rPr>
          <w:b/>
          <w:color w:val="000000"/>
          <w:sz w:val="20"/>
        </w:rPr>
        <w:t>Core: Self-referential processing, autobiographical memory | Hubs: mPFC, PCC/Precuneus, Angular gyrus, Hippocampus | EEG sites: Pz, P3/P4, Cz</w:t>
      </w:r>
    </w:p>
    <w:p>
      <w:r>
        <w:rPr>
          <w:b/>
          <w:color w:val="7B2D8E"/>
          <w:sz w:val="20"/>
        </w:rPr>
        <w:t xml:space="preserve">Chronic Pain Relevance: </w:t>
      </w:r>
      <w:r>
        <w:rPr>
          <w:sz w:val="20"/>
        </w:rPr>
        <w:t>HYPER. Pain catastrophising and rumination about pain drive mPFC hyperactivation. Distorted body schema and excessive self-referential processing of pain sensations reflect DMN hyperactivity amplifying the pain experience.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Spontaneous pain-focused self-referential speech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1=Absent, 2=Constant pain rumination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Pain catastrophising (verbal probe)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0=None, 1=Mild, 2=Severe catastrophising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Body schema distortion (body map)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1=Slightly distorted, 2=Severely distorted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Mind-wandering to pain topics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1=Absent, 2=Constant pain focus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Self-awareness of catastrophising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0=Good insight, 1=Limited, 2=None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Future thinking (pain-related hopelessness)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1=Mild pessimism, 2=Hopeless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Narrative coherence (pain history)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0=Coherent, 1=Fragmented, 2=Catastrophic narrative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DMN Total: _____ / 14</w:t>
      </w:r>
    </w:p>
    <w:p/>
    <w:p>
      <w:pPr>
        <w:pStyle w:val="Heading2"/>
        <w:jc w:val="left"/>
      </w:pPr>
      <w:r>
        <w:t>2. Central Executive Network (CEN/FPN) — Max Score: 14</w:t>
      </w:r>
    </w:p>
    <w:p>
      <w:r>
        <w:rPr>
          <w:b/>
          <w:color w:val="000000"/>
          <w:sz w:val="20"/>
        </w:rPr>
        <w:t>Core: Working memory, planning, cognitive control | Hubs: DLPFC, PPC/IPS | EEG sites: F3/F4, P3/P4, Fz</w:t>
      </w:r>
    </w:p>
    <w:p>
      <w:r>
        <w:rPr>
          <w:b/>
          <w:color w:val="7B2D8E"/>
          <w:sz w:val="20"/>
        </w:rPr>
        <w:t xml:space="preserve">Chronic Pain Relevance: </w:t>
      </w:r>
      <w:r>
        <w:rPr>
          <w:sz w:val="20"/>
        </w:rPr>
        <w:t>Compromised. Impaired descending pain modulation from DLPFC reduces conditioned pain modulation (CPM) efficacy. Cognitive interference from pain reduces available CEN resources for working memory and planning.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Serial 7s / mental calculation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1=Slow/errors, 2=Unable due to pain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Digit span (forward &amp; backward)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1=Reduced, 2=Unable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Trail Making A to B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1=Slow, 2=Unable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Verbal fluency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0=18+, 1=Reduced &lt;12, 2=Unable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Planning (clock drawing)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1=Impaired, 2=Unable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Set shifting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1=Perseverative, 2=Unable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Dual-task (walk + count)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1=Impaired, 2=Cannot dual-task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CEN Total: _____ / 14</w:t>
      </w:r>
    </w:p>
    <w:p/>
    <w:p>
      <w:pPr>
        <w:pStyle w:val="Heading2"/>
        <w:jc w:val="left"/>
      </w:pPr>
      <w:r>
        <w:t>3. Salience Network (SN) — Max Score: 14</w:t>
      </w:r>
    </w:p>
    <w:p>
      <w:r>
        <w:rPr>
          <w:b/>
          <w:color w:val="000000"/>
          <w:sz w:val="20"/>
        </w:rPr>
        <w:t>Core: Threat detection, interoception, DMN↔CEN switching | Hubs: Anterior Insula, dACC | EEG sites: Fz, FCz, F3/F4</w:t>
      </w:r>
    </w:p>
    <w:p>
      <w:r>
        <w:rPr>
          <w:b/>
          <w:color w:val="7B2D8E"/>
          <w:sz w:val="20"/>
        </w:rPr>
        <w:t xml:space="preserve">Chronic Pain Relevance: </w:t>
      </w:r>
      <w:r>
        <w:rPr>
          <w:sz w:val="20"/>
        </w:rPr>
        <w:t>HYPER. PRIMARY NETWORK IN CHRONIC PAIN. Central sensitisation reflects anterior insula and dACC hyperactivation that amplifies nociceptive salience. Interoceptive error signals perpetuate pain catastrophising.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Pain threshold (tender point pressure)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1=Hypo, 2=Hyper/allodynia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Allodynia to light touch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0=Absent, 1=Mild, 2=Severe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Interoception (pain signal amplification)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1=Reduced, 2=Excessive/amplified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Emotional reactivity to pain discussion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1=Flat, 2=Distressed/labile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Task switching when in pain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1=Slow, 2=Cannot switch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Error monitoring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1=Reduced, 2=Absent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Autonomic signs (sweating, HR)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1=Hypo, 2=Hyper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SN Total: _____ / 14</w:t>
      </w:r>
    </w:p>
    <w:p/>
    <w:p>
      <w:pPr>
        <w:pStyle w:val="Heading2"/>
        <w:jc w:val="left"/>
      </w:pPr>
      <w:r>
        <w:t>4. Sensorimotor Network (SMN) — Max Score: 16</w:t>
      </w:r>
    </w:p>
    <w:p>
      <w:r>
        <w:rPr>
          <w:b/>
          <w:color w:val="000000"/>
          <w:sz w:val="20"/>
        </w:rPr>
        <w:t>Core: Motor output, somatosensation, proprioception | Hubs: M1, S1, SMA, Premotor | EEG sites: C3/C4, Cz</w:t>
      </w:r>
    </w:p>
    <w:p>
      <w:r>
        <w:rPr>
          <w:b/>
          <w:color w:val="7B2D8E"/>
          <w:sz w:val="20"/>
        </w:rPr>
        <w:t xml:space="preserve">Chronic Pain Relevance: </w:t>
      </w:r>
      <w:r>
        <w:rPr>
          <w:sz w:val="20"/>
        </w:rPr>
        <w:t>Reorganised. Pain-avoidance motor patterns, protective guarding, and altered proprioceptive processing reflect chronic SMN reorganisation. Reduced motor cortex excitability is observed in fibromyalgia.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Pain-guarding posture (observation)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0=None, 1=Mild guarding, 2=Severe antalgic posture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Tender point examination (ACR sites)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1=4-10 tender, 2=11+ tender points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Range of motion (spine/limbs)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1=Mildly limited, 2=Severely limited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Grip strength (dynamometer)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1=Reduced, 2=Severely reduced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Gait compensation patterns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1=Antalgic gait, 2=Severely abnormal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Functional reach test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1=Reduced, 2=Unable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Muscle tone (palpation)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1=Hypotonic, 2=Hypertonic/spasm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Sensory testing (allodynia map)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1=Regional, 2=Widespread allodynia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SMN Total: _____ / 16</w:t>
      </w:r>
    </w:p>
    <w:p/>
    <w:p>
      <w:pPr>
        <w:pStyle w:val="Heading2"/>
        <w:jc w:val="left"/>
      </w:pPr>
      <w:r>
        <w:t>5. Limbic / Emotional Network — Max Score: 14</w:t>
      </w:r>
    </w:p>
    <w:p>
      <w:r>
        <w:rPr>
          <w:b/>
          <w:color w:val="000000"/>
          <w:sz w:val="20"/>
        </w:rPr>
        <w:t>Core: Affect generation/regulation, reward, stress | Hubs: OFC/mPFC, ACC, Amygdala | EEG sites: Fp1/Fp2, AF3/AF4, Fz</w:t>
      </w:r>
    </w:p>
    <w:p>
      <w:r>
        <w:rPr>
          <w:b/>
          <w:color w:val="7B2D8E"/>
          <w:sz w:val="20"/>
        </w:rPr>
        <w:t xml:space="preserve">Chronic Pain Relevance: </w:t>
      </w:r>
      <w:r>
        <w:rPr>
          <w:sz w:val="20"/>
        </w:rPr>
        <w:t>Dysregulated. Emotional amplification of pain via amygdala-insula circuits drives the affective component of chronic pain. Comorbid depression and anxiety reflect limbic network involvement in pain perpetuation.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Affect (pain-related distress)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1=Distressed, 2=Severely distressed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Mood screening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1=Low, 2=Severe depression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Anxiety screening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1=Mild, 2=Severe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Motivation to engage in activity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1=Reduced, 2=Avoidance/kinesiophobia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Reward sensitivity / pleasure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1=Anhedonia, 2=Complete loss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Stress response to pain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1=Blunted, 2=Catastrophic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Emotional regulation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1=Poor, 2=Dysregulated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Limbic Total: _____ / 14</w:t>
      </w:r>
    </w:p>
    <w:p/>
    <w:p>
      <w:pPr>
        <w:pStyle w:val="Heading2"/>
        <w:jc w:val="left"/>
      </w:pPr>
      <w:r>
        <w:t>6. Attention Networks (DAN / VAN) — Max Score: 16</w:t>
      </w:r>
    </w:p>
    <w:p>
      <w:r>
        <w:rPr>
          <w:b/>
          <w:color w:val="000000"/>
          <w:sz w:val="20"/>
        </w:rPr>
        <w:t>Core: Sustained/selective attention, orienting | Hubs: DAN: IPS/FEF; VAN: rTPJ/rIFG | EEG sites: P3/P4, PO7/PO8, F7/F8</w:t>
      </w:r>
    </w:p>
    <w:p>
      <w:r>
        <w:rPr>
          <w:b/>
          <w:color w:val="7B2D8E"/>
          <w:sz w:val="20"/>
        </w:rPr>
        <w:t xml:space="preserve">Chronic Pain Relevance: </w:t>
      </w:r>
      <w:r>
        <w:rPr>
          <w:sz w:val="20"/>
        </w:rPr>
        <w:t>Hypervigilant to pain. Attentional bias toward pain-related stimuli reflects DAN hyperresponsivity to nociceptive cues. VAN-driven orienting to any bodily sensation perpetuates pain hyperawareness.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Sustained attention (during pain)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1=Lapses, 2=Unable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Selective attention (Stroop)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1=Slow, 2=Unable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Attentional bias to pain/body cues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0=None, 1=Mild, 2=Cannot disengage from body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Auditory attention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1=Reduced, 2=Unable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Orienting to pain stimuli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1=Delayed, 2=Hypervigilant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Disengagement from pain focus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1=Slow, 2=Cannot disengage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Divided attention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1=Impaired, 2=Unable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Alertness (fatigue/insomnia)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1=Drowsy, 2=Severely fatigued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Attention Total: _____ / 16</w:t>
      </w:r>
    </w:p>
    <w:p/>
    <w:p>
      <w:pPr>
        <w:pStyle w:val="Heading1"/>
        <w:jc w:val="left"/>
      </w:pPr>
      <w:r>
        <w:t>Section B: Network Imbalance Profile</w:t>
      </w:r>
    </w:p>
    <w:p>
      <w:r>
        <w:rPr>
          <w:b/>
          <w:color w:val="7B2D8E"/>
          <w:sz w:val="20"/>
        </w:rPr>
        <w:t>Map network scores to identify dominant dysfunction pattern for FNON montage selection.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Network</w:t>
            </w:r>
          </w:p>
        </w:tc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</w:t>
            </w:r>
          </w:p>
        </w:tc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Max</w:t>
            </w:r>
          </w:p>
        </w:tc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Severity</w:t>
            </w:r>
          </w:p>
        </w:tc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Chronic Pain-Specific NIBS Target</w:t>
            </w:r>
          </w:p>
        </w:tc>
      </w:tr>
      <w:tr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1. DMN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Cathodal mPFC tDCS to reduce pain catastrophising / rumination</w:t>
            </w:r>
          </w:p>
        </w:tc>
      </w:tr>
      <w:tr>
        <w:tc>
          <w:tcPr>
            <w:tcW w:type="dxa" w:w="1560"/>
          </w:tcPr>
          <w:p>
            <w:r/>
            <w:r>
              <w:rPr>
                <w:sz w:val="18"/>
              </w:rPr>
              <w:t>2. CEN / FPN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Anodal L-DLPFC tDCS for descending pain modulation</w:t>
            </w:r>
          </w:p>
        </w:tc>
      </w:tr>
      <w:tr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3. Salience (SN)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taVNS / CES for central sensitisation / insula downregulation</w:t>
            </w:r>
          </w:p>
        </w:tc>
      </w:tr>
      <w:tr>
        <w:tc>
          <w:tcPr>
            <w:tcW w:type="dxa" w:w="1560"/>
          </w:tcPr>
          <w:p>
            <w:r/>
            <w:r>
              <w:rPr>
                <w:sz w:val="18"/>
              </w:rPr>
              <w:t>4. SMN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Anodal M1 tDCS / TPS FT1 for motor cortex pain modulation</w:t>
            </w:r>
          </w:p>
        </w:tc>
      </w:tr>
      <w:tr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5. Limbic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taVNS / Bifrontal tDCS / TPS FT4 for affective pain component</w:t>
            </w:r>
          </w:p>
        </w:tc>
      </w:tr>
      <w:tr>
        <w:tc>
          <w:tcPr>
            <w:tcW w:type="dxa" w:w="1560"/>
          </w:tcPr>
          <w:p>
            <w:r/>
            <w:r>
              <w:rPr>
                <w:sz w:val="18"/>
              </w:rPr>
              <w:t>6. Attention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Anodal parietal tDCS for attentional bias reduction</w:t>
            </w:r>
          </w:p>
        </w:tc>
      </w:tr>
      <w:tr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TOTAL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88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0-17 Normal | 18-35 Mild | 36-53 Mod | 54+ Severe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pStyle w:val="Heading1"/>
        <w:jc w:val="left"/>
      </w:pPr>
      <w:r>
        <w:t>Section C: Neurological Examination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Examination Domain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Finding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Details / Notes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Pyramidal tract signs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Extrapyramidal signs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Frontal release signs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Cerebellar examination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Cranial nerves / visual-oculomotor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Vestibular-oculomotor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Sensory examination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Deep tendon reflexes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pStyle w:val="Heading1"/>
        <w:jc w:val="left"/>
      </w:pPr>
      <w:r>
        <w:t>Section D: Phenotype Identification &amp; FNON Strategy</w:t>
      </w:r>
    </w:p>
    <w:p>
      <w:r>
        <w:rPr>
          <w:b/>
          <w:color w:val="7B2D8E"/>
          <w:sz w:val="20"/>
        </w:rPr>
        <w:t>Map examination findings to FNON phenotype and network hypothesis for montage selection.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Domain</w:t>
            </w:r>
          </w:p>
        </w:tc>
        <w:tc>
          <w:tcPr>
            <w:tcW w:type="dxa" w:w="468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Assessment</w:t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Identified Phenotype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☐ Nociceptive  ☐ Neuropathic  ☐ Nociplastic/central sensitisation  ☐ Fibromyalgia  ☐ CRPS  ☐ Mixed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Network Dysfunction Hypothesis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Primary Dysfunctional Network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Secondary Dysfunctional Network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EEG Performed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☐ Yes ☐ No ☐ Not available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EEG Findings Summary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Preliminary FNON NIBS Strategy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Proposed tDCS Protocol ID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Proposed TPS Protocol ID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234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34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Signature</w:t>
            </w:r>
          </w:p>
        </w:tc>
        <w:tc>
          <w:tcPr>
            <w:tcW w:type="dxa" w:w="234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Date</w:t>
            </w:r>
          </w:p>
        </w:tc>
      </w:tr>
      <w:tr>
        <w:tc>
          <w:tcPr>
            <w:tcW w:type="dxa" w:w="2340"/>
            <w:shd w:val="clear" w:color="auto" w:fill="EBF0F7"/>
          </w:tcPr>
          <w:p>
            <w:r/>
            <w:r>
              <w:rPr>
                <w:sz w:val="18"/>
              </w:rPr>
              <w:t>Examining Doctor</w:t>
            </w:r>
          </w:p>
        </w:tc>
        <w:tc>
          <w:tcPr>
            <w:tcW w:type="dxa" w:w="234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34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34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5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