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C"/>
          <w:sz w:val="32"/>
        </w:rPr>
        <w:t>SOZO BRAIN CENTER — PARTNERS TIER</w:t>
      </w:r>
    </w:p>
    <w:p>
      <w:pPr>
        <w:jc w:val="center"/>
      </w:pPr>
      <w:r>
        <w:rPr>
          <w:b/>
          <w:color w:val="2E75B6"/>
          <w:sz w:val="28"/>
        </w:rPr>
        <w:t>Clinical Examination Checklist</w:t>
      </w:r>
    </w:p>
    <w:p>
      <w:pPr>
        <w:jc w:val="center"/>
      </w:pPr>
      <w:r>
        <w:rPr>
          <w:color w:val="1B3A5C"/>
          <w:sz w:val="22"/>
        </w:rPr>
        <w:t>Stage 4 — Patient Journey | FNON Network-Based Assessment</w:t>
      </w:r>
    </w:p>
    <w:p>
      <w:pPr>
        <w:jc w:val="center"/>
      </w:pPr>
      <w:r>
        <w:rPr>
          <w:b/>
          <w:color w:val="7B2D8E"/>
          <w:sz w:val="22"/>
        </w:rPr>
        <w:t>🟣 FNON + Evidence-Based Assessment — Includes Brain Network Analysis</w:t>
      </w:r>
    </w:p>
    <w:p>
      <w:pPr>
        <w:jc w:val="center"/>
      </w:pPr>
      <w:r>
        <w:rPr>
          <w:b/>
          <w:color w:val="1B3A5C"/>
          <w:sz w:val="26"/>
        </w:rPr>
        <w:t>MULTIPLE SCLEROSIS (MS)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Patient Name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DOB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</w:tbl>
    <w:p/>
    <w:p>
      <w:r>
        <w:rPr>
          <w:b/>
          <w:sz w:val="20"/>
        </w:rPr>
        <w:t xml:space="preserve">Scoring: </w:t>
      </w:r>
      <w:r>
        <w:rPr>
          <w:sz w:val="20"/>
        </w:rPr>
        <w:t>HYPO (1)  |  NORMAL (0)  |  HYPER (2)</w:t>
      </w:r>
    </w:p>
    <w:p/>
    <w:p>
      <w:pPr>
        <w:pStyle w:val="Heading1"/>
        <w:jc w:val="left"/>
      </w:pPr>
      <w:r>
        <w:t>Section A: 6-Network Bedside Assessment</w:t>
      </w:r>
    </w:p>
    <w:p>
      <w:r>
        <w:rPr>
          <w:b/>
          <w:color w:val="7B2D8E"/>
          <w:sz w:val="20"/>
        </w:rPr>
        <w:t>Network assessment maps patient symptoms to functional brain networks for FNON-based montage selection.</w:t>
      </w:r>
    </w:p>
    <w:p>
      <w:pPr>
        <w:pStyle w:val="Heading2"/>
        <w:jc w:val="left"/>
      </w:pPr>
      <w:r>
        <w:t>1. Default Mode Network (DMN) — Max Score: 14</w:t>
      </w:r>
    </w:p>
    <w:p>
      <w:r>
        <w:rPr>
          <w:b/>
          <w:color w:val="000000"/>
          <w:sz w:val="20"/>
        </w:rPr>
        <w:t>Core: Self-referential processing, autobiographical memory | Hubs: mPFC, PCC/Precuneus, Angular gyrus, Hippocampus | EEG sites: Pz, P3/P4, Cz</w:t>
      </w:r>
    </w:p>
    <w:p>
      <w:r>
        <w:rPr>
          <w:b/>
          <w:color w:val="7B2D8E"/>
          <w:sz w:val="20"/>
        </w:rPr>
        <w:t xml:space="preserve">MS Relevance: </w:t>
      </w:r>
      <w:r>
        <w:rPr>
          <w:sz w:val="20"/>
        </w:rPr>
        <w:t>Disrupted by white matter lesion load. DMN hub disconnection causes processing speed reduction and cognitive fatigue episodes. Lesions in PCC/precuneus white matter tracts impair autobiographical and self-referential processing.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Spontaneous self-referential speech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1=Reduced/slowed, 2=Disorganised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Autobiographical memory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1=Slowed retrieval, 2=Impaired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Mind-wandering / cognitive fatigue episodes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1=Occasional, 2=Frequent lapses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Daydreaming / visual phenomena (Uhthoff)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1=Heat-induced blurring, 2=Visual loss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Self-awareness of cognitive change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 anosognosia,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Future planning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1=Impaired,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Cognitive fluctuations (good/bad days)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0=Consistent, 1=Variable, 2=Severe variability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DMN Total: _____ / 14</w:t>
      </w:r>
    </w:p>
    <w:p/>
    <w:p>
      <w:pPr>
        <w:pStyle w:val="Heading2"/>
        <w:jc w:val="left"/>
      </w:pPr>
      <w:r>
        <w:t>2. Central Executive Network (CEN/FPN) — Max Score: 14</w:t>
      </w:r>
    </w:p>
    <w:p>
      <w:r>
        <w:rPr>
          <w:b/>
          <w:color w:val="000000"/>
          <w:sz w:val="20"/>
        </w:rPr>
        <w:t>Core: Working memory, planning, cognitive control | Hubs: DLPFC, PPC/IPS | EEG sites: F3/F4, P3/P4, Fz</w:t>
      </w:r>
    </w:p>
    <w:p>
      <w:r>
        <w:rPr>
          <w:b/>
          <w:color w:val="7B2D8E"/>
          <w:sz w:val="20"/>
        </w:rPr>
        <w:t xml:space="preserve">MS Relevance: </w:t>
      </w:r>
      <w:r>
        <w:rPr>
          <w:sz w:val="20"/>
        </w:rPr>
        <w:t>HYPO. Periventricular and frontal white matter lesions disconnect DLPFC from PPC, causing the hallmark MS cognitive syndrome: reduced processing speed, working memory impairment, and cognitive fatigue.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Serial 7s / processing speed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1=Slow/errors,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Digit span (forward &amp; backward)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Trail Making A to B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Verbal fluency (COWAT)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0=18+, 1=Reduced &lt;12,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Clock drawing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Set shifting / cognitive flexibility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1=Perseverative,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Dual-task (walk + count)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CEN Total: _____ / 14</w:t>
      </w:r>
    </w:p>
    <w:p/>
    <w:p>
      <w:pPr>
        <w:pStyle w:val="Heading2"/>
        <w:jc w:val="left"/>
      </w:pPr>
      <w:r>
        <w:t>3. Salience Network (SN) — Max Score: 14</w:t>
      </w:r>
    </w:p>
    <w:p>
      <w:r>
        <w:rPr>
          <w:b/>
          <w:color w:val="000000"/>
          <w:sz w:val="20"/>
        </w:rPr>
        <w:t>Core: Threat detection, interoception, DMN↔CEN switching | Hubs: Anterior Insula, dACC | EEG sites: Fz, FCz, F3/F4</w:t>
      </w:r>
    </w:p>
    <w:p>
      <w:r>
        <w:rPr>
          <w:b/>
          <w:color w:val="7B2D8E"/>
          <w:sz w:val="20"/>
        </w:rPr>
        <w:t xml:space="preserve">MS Relevance: </w:t>
      </w:r>
      <w:r>
        <w:rPr>
          <w:sz w:val="20"/>
        </w:rPr>
        <w:t>Disrupted. Fatigue-related network switching failure reflects impaired SN function. MS fatigue is partly a SN phenomenon: the network cannot efficiently switch between DMN and task-positive networks under 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Startle response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2=Exaggerated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Pain sensitivity (neuropathic)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1=Hypo, 2=Hyper/allodynia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Interoception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1=Absent, 2=Distorted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Emotional reactivity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1=Flat, 2=Labile/PLC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Task switching under fatigue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1=Slowed, 2=Cannot switch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Error monitoring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Autonomic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1=Hypo, 2=Hyper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SN Total: _____ / 14</w:t>
      </w:r>
    </w:p>
    <w:p/>
    <w:p>
      <w:pPr>
        <w:pStyle w:val="Heading2"/>
        <w:jc w:val="left"/>
      </w:pPr>
      <w:r>
        <w:t>4. Sensorimotor Network (SMN) — Max Score: 16</w:t>
      </w:r>
    </w:p>
    <w:p>
      <w:r>
        <w:rPr>
          <w:b/>
          <w:color w:val="000000"/>
          <w:sz w:val="20"/>
        </w:rPr>
        <w:t>Core: Motor output, somatosensation, proprioception | Hubs: M1, S1, SMA, Premotor | EEG sites: C3/C4, Cz</w:t>
      </w:r>
    </w:p>
    <w:p>
      <w:r>
        <w:rPr>
          <w:b/>
          <w:color w:val="7B2D8E"/>
          <w:sz w:val="20"/>
        </w:rPr>
        <w:t xml:space="preserve">MS Relevance: </w:t>
      </w:r>
      <w:r>
        <w:rPr>
          <w:sz w:val="20"/>
        </w:rPr>
        <w:t>PRIMARY NETWORK IN MS. Lesions anywhere along the corticospinal tract produce motor symptoms. Cerebellar lesions produce ataxia; spinal cord lesions produce spasticity. SMN impairment varies by lesion location.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Upper limb weakness (MRC grade)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0=5/5 Normal, 1=3-4/5, 2=0-2/5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Lower limb spasticity (Ashworth)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0=None, 1=Mild MAS 1-2, 2=Severe MAS 3-4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Coordination (finger-to-nose)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 dysmetria, 2=Severe ataxia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Gait pattern (ataxic/spastic)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1=Spastic/ataxic, 2=Requires aid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Balance (tandem/Romberg)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2=Cannot perform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Fine motor 9HPT (dominant hand)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0=&lt;50s, 1=50-70s, 2=&gt;70s/Unable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Babinski sign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0=Absent, 1=Equivocal, 2=Present bilateral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Tremor (cerebellar intention)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0=Absent, 1=Mild, 2=Severe/disabling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SMN Total: _____ / 16</w:t>
      </w:r>
    </w:p>
    <w:p/>
    <w:p>
      <w:pPr>
        <w:pStyle w:val="Heading2"/>
        <w:jc w:val="left"/>
      </w:pPr>
      <w:r>
        <w:t>5. Limbic / Emotional Network — Max Score: 14</w:t>
      </w:r>
    </w:p>
    <w:p>
      <w:r>
        <w:rPr>
          <w:b/>
          <w:color w:val="000000"/>
          <w:sz w:val="20"/>
        </w:rPr>
        <w:t>Core: Affect generation/regulation, reward, stress | Hubs: OFC/mPFC, ACC, Amygdala | EEG sites: Fp1/Fp2, AF3/AF4, Fz</w:t>
      </w:r>
    </w:p>
    <w:p>
      <w:r>
        <w:rPr>
          <w:b/>
          <w:color w:val="7B2D8E"/>
          <w:sz w:val="20"/>
        </w:rPr>
        <w:t xml:space="preserve">MS Relevance: </w:t>
      </w:r>
      <w:r>
        <w:rPr>
          <w:sz w:val="20"/>
        </w:rPr>
        <w:t>Dysregulated. MS depression (50% lifetime prevalence) is the most common psychiatric comorbidity. Emotional lability, pathological laughing/crying, and apathy reflect limbic network demyelination or disconnection.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Affect (depression/lability)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1=Low/flat, 2=Depressed/PLC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Mood screening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1=Low, 2=Severe depression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Anxiety screening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1=Mild, 2=Severe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Motivation (fatigue-related apathy)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1=Reduced,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Reward sensitivity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1=Anhedonia, 2=Absent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Stress response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1=Blunted, 2=Hyperactive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Emotional 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1=Poor, 2=PLC/severe dysregulation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Limbic Total: _____ / 14</w:t>
      </w:r>
    </w:p>
    <w:p/>
    <w:p>
      <w:pPr>
        <w:pStyle w:val="Heading2"/>
        <w:jc w:val="left"/>
      </w:pPr>
      <w:r>
        <w:t>6. Attention Networks (DAN / VAN) — Max Score: 16</w:t>
      </w:r>
    </w:p>
    <w:p>
      <w:r>
        <w:rPr>
          <w:b/>
          <w:color w:val="000000"/>
          <w:sz w:val="20"/>
        </w:rPr>
        <w:t>Core: Sustained/selective attention, orienting | Hubs: DAN: IPS/FEF; VAN: rTPJ/rIFG | EEG sites: P3/P4, PO7/PO8, F7/F8</w:t>
      </w:r>
    </w:p>
    <w:p>
      <w:r>
        <w:rPr>
          <w:b/>
          <w:color w:val="7B2D8E"/>
          <w:sz w:val="20"/>
        </w:rPr>
        <w:t xml:space="preserve">MS Relevance: </w:t>
      </w:r>
      <w:r>
        <w:rPr>
          <w:sz w:val="20"/>
        </w:rPr>
        <w:t>HYPO. Symbol Digit Modalities Test (SDMT) impairment is the most sensitive marker of MS cognitive change. DAN disruption produces processing speed decline; divided attention is particularly vulnerable to lesion 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Scoring Guide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 (0/1/2)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SDMT-equivalent (processing speed)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 &gt;44, 1=Reduced 30-44, 2=&lt;30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Sustained attention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1=Lapses, 2=Unable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Selective attention (Stroop)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1=Slow,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Visual search / scanning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1=Slow, 2=Cannot complete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Auditory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1=Reduced,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Orienting response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1=Delayed, 2=Absent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Divided attention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0=Normal, 1=Impaired, 2=Unable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Alertness (fatigue-related)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0=Normal, 1=Drowsy, 2=Severely fatigued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</w:t>
            </w:r>
          </w:p>
        </w:tc>
      </w:tr>
    </w:tbl>
    <w:p/>
    <w:p>
      <w:r>
        <w:rPr>
          <w:b/>
        </w:rPr>
        <w:t>Attention Total: _____ / 16</w:t>
      </w:r>
    </w:p>
    <w:p/>
    <w:p>
      <w:pPr>
        <w:pStyle w:val="Heading1"/>
        <w:jc w:val="left"/>
      </w:pPr>
      <w:r>
        <w:t>Section B: Network Imbalance Profile</w:t>
      </w:r>
    </w:p>
    <w:p>
      <w:r>
        <w:rPr>
          <w:b/>
          <w:color w:val="7B2D8E"/>
          <w:sz w:val="20"/>
        </w:rPr>
        <w:t>Map network scores to identify dominant dysfunction pattern for FNON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56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MS-Specific NIBS Target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1. DMN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Cathodal PCC tDCS for fatigue-related DMN dysregulation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2. CEN / FPN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L-DLPFC tDCS / TPS FT3 for processing speed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3. Salience (SN)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CES for fatigue and network switching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4. SMN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M1/SMA tDCS / TPS FT1 for motor function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5. Limbic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taVNS / Bifrontal tDCS / TPS FT4 for MS depression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sz w:val="18"/>
              </w:rPr>
              <w:t>6. Attention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Normal ☐ Mild ☐ Mod ☐ Severe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☐ Hypo ☐ Hyper</w:t>
            </w:r>
          </w:p>
        </w:tc>
        <w:tc>
          <w:tcPr>
            <w:tcW w:type="dxa" w:w="1560"/>
          </w:tcPr>
          <w:p>
            <w:r/>
            <w:r>
              <w:rPr>
                <w:sz w:val="18"/>
              </w:rPr>
              <w:t>Anodal parietal tDCS / TPS FT5 for processing speed</w:t>
            </w:r>
          </w:p>
        </w:tc>
      </w:tr>
      <w:tr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TOTAL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88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  <w:t>0-17 Normal | 18-35 Mild | 36-53 Mod | 54+ Severe</w:t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6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C: Neurological Examination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Examination Domain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Finding</w:t>
            </w:r>
          </w:p>
        </w:tc>
        <w:tc>
          <w:tcPr>
            <w:tcW w:type="dxa" w:w="312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Details / Notes</w:t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Pyramidal tract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Extrapyramidal signs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Frontal release signs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Cerebellar examination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Cranial nerves / visual-oculomotor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Vestibular-oculomotor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Sensory examination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18"/>
              </w:rPr>
              <w:t>Deep tendon reflexes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  <w:t>☐ Normal ☐ Abnormal</w:t>
            </w:r>
          </w:p>
        </w:tc>
        <w:tc>
          <w:tcPr>
            <w:tcW w:type="dxa" w:w="3120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  <w:jc w:val="left"/>
      </w:pPr>
      <w:r>
        <w:t>Section D: Phenotype Identification &amp; FNON Strategy</w:t>
      </w:r>
    </w:p>
    <w:p>
      <w:r>
        <w:rPr>
          <w:b/>
          <w:color w:val="7B2D8E"/>
          <w:sz w:val="20"/>
        </w:rPr>
        <w:t>Map examination findings to FNON phenotype and network hypothesis for montage selection.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Domain</w:t>
            </w:r>
          </w:p>
        </w:tc>
        <w:tc>
          <w:tcPr>
            <w:tcW w:type="dxa" w:w="468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Assessment</w:t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Identified Phenotype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RRMS  ☐ SPMS  ☐ PPMS  ☐ Fatigue-predominant  ☐ Cognitive-predominant  ☐ Motor/spastic  ☐ Cerebellar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Network Dysfunction Hypothesis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Primary Dysfunctional Network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Secondary Dysfunctional Network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EEG Performed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☐ Yes ☐ No ☐ Not available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EEG Findings Summary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Preliminary FNON NIBS Strategy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18"/>
              </w:rPr>
              <w:t>Proposed tDCS Protocol ID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  <w:t>Proposed TPS Protocol ID</w:t>
            </w:r>
          </w:p>
        </w:tc>
        <w:tc>
          <w:tcPr>
            <w:tcW w:type="dxa" w:w="468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Signature</w:t>
            </w:r>
          </w:p>
        </w:tc>
        <w:tc>
          <w:tcPr>
            <w:tcW w:type="dxa" w:w="2340"/>
            <w:shd w:val="clear" w:color="auto" w:fill="1B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  <w:t>Examining Doctor</w:t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340"/>
            <w:shd w:val="clear" w:color="auto" w:fill="EBF0F7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5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