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ASD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ADOS-2 / SRS-2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ASD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ADOS-2 / ADI-R diagnostic assessment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Specialist Assessment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Social communication profile (SRS-2, SCQ)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Repetitive behaviour severity (RBS-R, RBSER)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Language and communication level (VABS)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VABS / SLP Assessment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Sensory processing profile (SPM, SSP)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Sensory Scales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Executive function (BRIEF-A, ToL)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ADHD comorbidity (ADHD-RS, Conners)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ASD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Social reciprocity deficits, reduced joint attention, peer relationship difficulty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Social (SO)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Restricted interests, stereotypies, insistence on sameness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Repetitive (RE)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Language delay, communication difficulties, pragmatic deficits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Language (LA)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Sensory hyper/hyposensitivity, sensory seeking/avoidance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Sensory (SE)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Executive dysfunction: planning, flexibility, initiation foregrounded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Executive (EX)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Emotional dysregulation, meltdowns, affect modulation difficulty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Emotional (EM)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ADHD comorbidity dominant: inattention/hyperactivity alongside ASD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ADHD-Comorbid (AD)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SO  □ RE  □ LA  □ SE  □ EX  □ EM  □ AD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Social brain (R-TPJ/mPFC)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(amygdala)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 (SMA)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L-temporal (STG/IFG)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 gating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(dACC/Insula)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(amygdala)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Social / Language Phenotypes (SO / LA)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social cognition enhancement (SO)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R-TPJ social processing (SO/EM)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TPJ (P4)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supraorbital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L-IFG language facilitation (LA)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IFG (F7)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Repetitive / Sensory (RE / 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Pre-SMA repetitive behaviour modulation (RE)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Pre-SMA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Insula sensory gating (SE)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anodal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Executive / Emotional / ADHD-Comorbid (EX / EM / 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ADHD-executive (AD/EX)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(F4)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supraorbital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Emotional regulation DLPFC (EM)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ASD.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social-executive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SO, EX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R-TPJ social processing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SO, EM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L-IFG/Broca language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Pre-SMA repetitive behaviour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Insula sensory processing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emotional regulation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ADHD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temporal-parietal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 / SO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ASD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complex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Emotional dysregulation, autonomic arousal, sleep disruption in ASD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 comorbidity, insomnia, sensory overload, emotional dysregulation in ASD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SE and EM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Social/Language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+ R-TPJ tDCS during social tasks (5×/wk) → Wk 2–6: TPS TPJ/DLPFC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 / LA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Repetitive/Sensory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Pre-SMA cathodal tDCS + Daily CES → Wk 3–6: TPS Pre-SMA/Insula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 / SE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Executive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CES/taVNS stabilization → Wk 2–6: R-DLPFC tDCS + TPS CEN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 / AD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Emotional/Mixed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L-DLPFC + R-TPJ tDCS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(Social/Language)  □ B (Repetitive/Sensory)  □ C (Executive)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SRS-2 / VABS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ASD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