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TBI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GCS / TBI Severity Rating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Time Since Injury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TBI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TBI severity (GCS, LOC duration, PTA)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profile (COGSTATE, MoCA, digit span)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Post-concussion symptoms (RPQ, PCSI)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 characteristics (MIDAS, frequency/severity)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 Diary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Behavioral / emotional dysregulation (NPI, BRIEF)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NPI / BRIEF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Vestibular / balance assessment (BESS, DHI)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Physiotherapy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severity (FSS, MFI)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TBI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impairment: processing speed, attention, memory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(CG)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dysfunction: planning, inhibition, set-shifting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(EX)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Post-traumatic headache dominant, migraine-like features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 (HA)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Behavioral dysregulation, impulsivity, aggression, disinhibition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Behavioral (BE)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Vestibular dysfunction, dizziness, balance impairment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Vestibular (VE)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dominant: cognitive and/or physical exhaustion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 (FA)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Memory impairment: episodic, prospective memory deficit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Memory (ME)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CG  □ EX  □ HA  □ BE  □ VE  □ FA  □ ME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(bilateral 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(L-DLPFC/R-IFG)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(Insula/dACC)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(trigeminal)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(OFC/DLPFC)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Cerebellar-vestibular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(hippocampal)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Cognitive / Executive Phenotypes (CG / EX / 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cognitive restoration (CG/EX)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IFG executive inhibition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IFG (F8)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Hippocampal memory support (ME)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(T3)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Headache / Vestibular (HA / 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Thalamic/SN modulation for headache (HA)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 modulation for vestibular (VE)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Cerebellum (Oz-based)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Behavioral / Fatigue (BE / FA)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OFC/DLPFC behavioral circuit (BE)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Frontal fatigue network (FA)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TBI.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CEN restoration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CG, EX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executive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EX, BE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 behavioral regulation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Hippocampal memory consolidation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Thalamic-SN headache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Cerebellar-vestibular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Frontal fatigue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frontal post-TBI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 / severe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TBI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complex TBI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Fatigue, sleep disruption, autonomic dysregulation post-TBI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Headache, anxiety, sleep disruption, behavioral dysregulation in TBI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HA, BE, FA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Cognitive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Bilateral DLPFC tDCS (5×/wk) → Wk 2–6: TPS CEN/memory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CG / EX / ME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Headache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tDCS DLPFC + TPS SN/thalamic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 / VE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Behavioral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tDCS + Daily taVNS → Wk 3–6: TPS OFC/DLPFC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BE / FA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 network) → Maintenance bilateral 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complex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(Cognitive)  □ B (Headache)  □ C (Behavioral)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COGSTATE / RPQ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TBI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