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1B3A5C"/>
          <w:sz w:val="32"/>
        </w:rPr>
        <w:t>SOZO BRAIN CENTER — PARTNERS TIER</w:t>
      </w:r>
    </w:p>
    <w:p>
      <w:pPr>
        <w:jc w:val="center"/>
      </w:pPr>
      <w:r>
        <w:rPr>
          <w:rFonts w:ascii="Calibri" w:hAnsi="Calibri"/>
          <w:b/>
          <w:i w:val="0"/>
          <w:color w:val="2E75B6"/>
          <w:sz w:val="28"/>
        </w:rPr>
        <w:t>ADHD-Specific 6-Network Bedside Assessment</w:t>
      </w:r>
    </w:p>
    <w:p>
      <w:pPr>
        <w:shd w:val="clear" w:color="auto" w:fill="7B2D8E"/>
        <w:jc w:val="center"/>
      </w:pPr>
      <w:r>
        <w:rPr>
          <w:rFonts w:ascii="Calibri" w:hAnsi="Calibri"/>
          <w:b/>
          <w:i w:val="0"/>
          <w:color w:val="FFFFFF"/>
          <w:sz w:val="22"/>
        </w:rPr>
        <w:t>🟣 FNON + Evidence-Based Assessment — Includes Brain Network Analysis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4680"/>
        <w:gridCol w:w="4680"/>
      </w:tblGrid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Patient Name: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Date of Birth: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Date of Assessment: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Clinician: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Session Number: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Medication State: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ON  /  OFF  /  Wash-out</w:t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Primary Diagnosis: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Secondary Diagnosis: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Current Medications: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Referral Source: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Notes: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</w:tbl>
    <w:p/>
    <w:p>
      <w:r>
        <w:rPr>
          <w:rFonts w:ascii="Calibri" w:hAnsi="Calibri"/>
          <w:b/>
          <w:i w:val="0"/>
          <w:color w:val="1B3A5C"/>
          <w:sz w:val="22"/>
        </w:rPr>
        <w:t xml:space="preserve">Scoring Key: </w:t>
      </w:r>
      <w:r>
        <w:rPr>
          <w:rFonts w:ascii="Calibri" w:hAnsi="Calibri"/>
          <w:b w:val="0"/>
          <w:i w:val="0"/>
          <w:color w:val="2E75B6"/>
          <w:sz w:val="22"/>
        </w:rPr>
        <w:t xml:space="preserve">HYPO (1)  |  </w:t>
      </w:r>
      <w:r>
        <w:rPr>
          <w:rFonts w:ascii="Calibri" w:hAnsi="Calibri"/>
          <w:b w:val="0"/>
          <w:i w:val="0"/>
          <w:color w:val="1B3A5C"/>
          <w:sz w:val="22"/>
        </w:rPr>
        <w:t xml:space="preserve">NORMAL (0)  |  </w:t>
      </w:r>
      <w:r>
        <w:rPr>
          <w:rFonts w:ascii="Calibri" w:hAnsi="Calibri"/>
          <w:b w:val="0"/>
          <w:i w:val="0"/>
          <w:color w:val="CC0000"/>
          <w:sz w:val="22"/>
        </w:rPr>
        <w:t>HYPER (2)</w:t>
      </w:r>
      <w:r>
        <w:rPr>
          <w:rFonts w:ascii="Calibri" w:hAnsi="Calibri"/>
          <w:b/>
          <w:i w:val="0"/>
          <w:color w:val="1B3A5C"/>
          <w:sz w:val="22"/>
        </w:rPr>
        <w:t xml:space="preserve">          Total: 44 Tests (Max Score: 88)</w:t>
      </w:r>
    </w:p>
    <w:p>
      <w:pPr>
        <w:shd w:val="clear" w:color="auto" w:fill="7B2D8E"/>
      </w:pPr>
      <w:r>
        <w:rPr>
          <w:rFonts w:ascii="Calibri" w:hAnsi="Calibri"/>
          <w:b/>
          <w:i w:val="0"/>
          <w:color w:val="FFFFFF"/>
          <w:sz w:val="20"/>
        </w:rPr>
        <w:t xml:space="preserve">🟣 ADHD-Adapted Version: </w:t>
      </w:r>
      <w:r>
        <w:rPr>
          <w:rFonts w:ascii="Calibri" w:hAnsi="Calibri"/>
          <w:b w:val="0"/>
          <w:i w:val="0"/>
          <w:color w:val="FFFFFF"/>
          <w:sz w:val="20"/>
        </w:rPr>
        <w:t>Includes inattention/hyperactivity subtype differentiation, executive function markers, and ADHD phenotype indicators</w:t>
      </w:r>
    </w:p>
    <w:p/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Default Mode Network (DMN)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Task-Unrelated Thought Probe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Give 2-min reading passage; probe 4 times: 'Were you thinking about the text?' Count off-task responses.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≤1/4 off-task responses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0/4 off-task (over-compliance, anxiety, or rigid task focus)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3–4/4 off-task; mind-wandering; ADHD hallmark DMN failure to suppress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Autobiographical Memory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 3 personal memories. Note coherence, narrative structure, and chronological organization.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Specific, organized memories with temporal sequence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Sparse memories; poor narrative structure; effortful recall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Disorganized, tangential narrative; jumps between unrelated memories; loses thread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Prospective Memory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Tell patient to remind you of a specific word in 5 min. Continue assessment. Note if remembered.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Independent recall within 5±1 min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Completely forgets; poor prospective monitoring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Repeatedly interrupts assessment to ask if it's time yet; impulsive time monitoring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Self-Reference Memory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Read 10 adjectives with 'Does this describe you?' frame. Recall after 2-min distractor.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≥6/10 recalled; balanced content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&lt;4/10; poor self-schema engagement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recall but dominated by ADHD-related self-descriptors (restless, forgetful, distracted)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Default Narrative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'Tell me about something you did this week.' Rate: narrative coherence, topic maintenance, tangentiality.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Coherent narrative; ≤2 topic shifts; resolves story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Short vague response; flat affect; poor self-monitoring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Highly tangential; ≥4 topic shifts; never returns to original story; ADHD narrative pattern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Mind-Wandering During Waiting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 patient to sit quietly for 60 sec without speaking. Observe: fidgeting, vocalizing, looking around.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Sits relatively still; may look around but self-regulates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Sits motionless but dissociated; flat; inattentive subtype pattern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Fidgets, vocalizes, or interrupts within 30 sec; hyperactive pattern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Semantic Fluency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Name as many sports as possible in 1 min. Note: clustering, switching, and total count.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≥12 items; appropriate clustering and switching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&lt;7 items; poor fluency; sluggish cognitive tempo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≥15 items but with poor organization; rapid random output; impulsive generation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ADHD Relevance: ADHD involves paradoxical DMN HYPERACTIVITY during task engagement — failure to suppress default mode when attention is required. The mPFC-PCC circuit fails to deactivate, causing mind-wandering, task-irrelevant thoughts, and attentional lapses.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Default Mode Network (DMN)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Central Executive Network (CEN/FPN)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Digit Span Backward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Backward digit recall. Start at 2 digits; increase until failure. Score maximum span.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Backward span ≥5 digits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Span ≤3; working memory impairment; ADHD core deficit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Span ≤3 with frustration; impulsive early responses; starts before sequence ends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Trail Making B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Alternating number-letter connections. Record time and errors. Note impulsive wrong connections.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&lt;90 sec; ≤2 errors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Extremely slow; sluggish cognitive tempo subtype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Multiple impulsive sequence errors; rushes without planning; restarts frequently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Verbal Fluency FAS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F-A-S word generation for 60 sec each. Count unique words, repetitions, and rule violations.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≥12 words/letter; &lt;3 repetitions; no rule violations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&lt;7 words; slow initiation; poor verbal output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≥12 words but with repetitions; rule violations (proper nouns); impulsive output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Stroop Color-Word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Name ink color ignoring printed word. Record interference errors and time.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&lt;45 sec; ≤3 errors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 but accurate; inhibitory dysfunction pattern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Multiple impulsive errors; names word instead of color; poor response inhibition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Serial 7 Subtraction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Backward 100-7 for 5 steps. Note accuracy, self-correction, and frustration tolerance.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5/5 correct; self-corrects errors calmly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≤2/5; slow; poor working memory maintenance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3–4/5 correct but impulsive; skips steps; becomes frustrated or disengaged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Go/No-Go Task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Tap for all letters except X. 20 letters at 1/sec. Count commission and omission errors.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 commission; ≤2 omission errors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High omission errors &gt;5; poor engagement; inattentive subtype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High commission errors &gt;5; impulsive tapping; fails to inhibit X response; hyperactive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Category Switching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Alternating fruits and vegetables for 60 sec. Count correct switches and intrusion errors.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≥10 correct alternations; ≤2 intrusions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&lt;5 alternations; rigid; poor cognitive flexibility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count but perseverative intrusions; set-shifting difficulty; executive error pattern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ADHD Relevance: CEN is the CORE HYPOACTIVE network in ADHD — DLPFC, posterior parietal, and ACC hypofunction underlie working memory deficits, poor response inhibition, and executive dysfunction. Mesocortical dopamine/noradrenaline deficiency drives CEN underperformance.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Central Executive Network (CEN/FPN)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Salience Network (SN)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Heartbeat Counting — Interoception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Count heartbeats for 25 sec without touching body. Calculate interoceptive accuracy.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Accuracy &gt;0.75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Accuracy &lt;0.50; poor body awareness; inattentive subtype pattern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Variable accuracy; hyperawareness at times then complete unawareness; inconsistent salience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Error Monitoring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Read sentence with 2 errors. Note spontaneous detection and response.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Catches ≥1 error; calm correction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Misses both errors; poor ACC monitoring; inattentive subtype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Catches errors impulsively; interrupts reading; may over-correct non-errors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Emotional Salience Rating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Rate 6 emotional and 6 neutral images for personal salience 0–10.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Balanced ratings; appropriate emotional differentiation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ratings; poor emotional engagement; sluggish cognitive tempo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Extreme ratings; over-assigns salience to novelty/interesting images; impulsive rating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Sensory Switching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Alternate visual tracking and auditory counting. Measure switch latency and accuracy.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Switch delay &lt;2 sec; smooth transitions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 switching; inattentive disengagement from first task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Rapid but inaccurate switching; abandons first task before instructed; impulsive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Threat Appraisal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Rate threat in 5 ambiguous social scenarios 0–10.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Ratings 2–5; balanced interpretation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ratings ≤2; poor social awareness; inattentive pattern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Extreme variability; oscillates 0–10 within same scenario set; impulsive appraisals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Surprise/Orienting Response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Unexpected auditory tone mid-task. Observe startle, reorientation, and recovery.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Brief interruption; reorientation within 3 sec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Minimal startle; poor orienting; inattentive subtype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Exaggerated startle; prolonged behavioral disruption; attentional capture by novel stimulus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Pain Sensitivity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Light pressure to fingernail bed for 3 sec. Rate intensity 0–10.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Rating 3–6; bilateral symmetry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Rating ≤2; poor somatic awareness; inattentive type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Rating variable; may ignore during distraction then over-report when focused; inconsistent salience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ADHD Relevance: SN shows mixed dysfunction: HYPO error-monitoring (poor ACC engagement, lack of self-correction) in inattentive subtype; HYPER sensory reactivity and impulsive salience detection in hyperactive/combined subtype.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Salience Network (SN)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Sensorimotor Network (SMN) — Max Score: 16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Finger Tapping Rate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Index finger tapping 10 sec each hand. Count taps and note rhythm consistency.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≥50 taps/10 sec; regular rhythm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&lt;40 taps; sluggish; poor motor initiation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≥55 taps but with irregular rhythm; variable rate; motor impersistence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Fidgeting Observation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During the full 10-min assessment, count self-directed movements (leg bouncing, hand touching face, seat shifting, object handling).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≤3 self-directed movements per 10 min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 self-directed movements; rigid stillness; over-inhibited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≥8 self-directed movements; motor restlessness; hyperactive subtype marker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Fine Motor Sequencing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Thumb-to-finger opposition sequence at maximum speed for 10 sec.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≥4 complete sequences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 sequences; sluggish motor execution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3–4 sequences but with error and restart; loses sequence; impulsive motor pattern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Tandem Gait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Heel-to-toe walk 10 steps. Count steps off line and note pace consistency.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≤1 step off line; consistent pace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Multiple steps off; slow; poor motor attention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≥3 steps off; variable pace; distracted gait; ADHD motor coordination pattern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Romberg Test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Feet together eyes closed 30 sec. Observe sway and movement.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Minimal sway; stable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Excessive sway; poor proprioception; disconnected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Fidgets; shifts weight repeatedly; cannot maintain still stance for 30 sec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Rapid Alternating Movements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Pronate/supinate 10 sec. Rate rhythm, speed, amplitude.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Regular rhythm; ≥14 cycles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Slow; reduced amplitude; poor motor drive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Fast but irregular; motor impersistence; amplitude variation; hyperkinetic pattern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Writing Sample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Write name and address; draw 10 circles. Note size consistency and organization on page.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Legible; consistent size; organized on page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Reduced pressure; incomplete; motor disengagement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Variable size; circles wander across page; erratic pressure; ADHD motor variability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Reaction Time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Hand lift 3 trials. Average response time. Note false starts.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Average &lt;250 ms; ≤1 false start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&gt;400 ms; slow reaction; poor motor readiness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&lt;200 ms average with ≥2 false starts; impulsive; cannot wait for stimulus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ADHD Relevance: ADHD-Combined shows SMN HYPER with hyperactivity, fidgeting, and motor restlessness. ADHD-Inattentive may show mild SMN HYPO (sluggish cognitive tempo). Cerebellar-motor circuit involvement produces coordination and sequencing difficulties.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Sensorimotor Network (SMN) Total: _____ / 16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Limbic / Emotional Network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Reward Sensitivity — ADHD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Rate motivation for 5 activities: immediate reward vs delayed reward scenarios. Note discounting of delayed rewards.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Consistent motivation regardless of delay; approach motivation maintained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motivation for all activities; anhedonic pattern (screen for Depression)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Strong immediate preference; significant delay discounting; reward-seeking impulsivity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Emotional Face Recognition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Identify 6 emotions from facial photos. Score /6.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≥5/6 correct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&lt;4/6; poor affect recognition; social emotional HYPO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accuracy but impulsive responses; guesses before examining fully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Affect Labeling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 emotional scenarios. Name own emotional response.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Accurate, differentiated labels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labels; 'I don't know'; poor affect awareness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Impulsive emotional labeling; over-identifies with extreme emotions; emotional dysregulation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Rejection Dysphoria Screen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'How do you feel when criticized or when you feel you've failed someone?' Rate emotional intensity 0–10.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Intensity 3–6; proportionate; resolves within 1 hour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response ≤2; emotional blunting; avoidant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Intensity ≥9; 'world-ending' quality; hours-long emotional response; RSD marker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Fear Response Assessment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 mildly threatening scenarios. Rate anxiety 0–10.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Anxiety 2–5; proportionate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≤2; poor fear response; avoidant pattern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Extreme variability; some scenarios ≥9; ADHD emotional dysregulation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Social Comfort Rating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Rate comfort in 5 social scenarios 0–10.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≥5/10 for ≥4 scenarios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≤3 for all; withdrawn; avoidant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Variable; some scenarios very high, others very low; impulsive social engagement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Affective Flexibility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Sad then happy memory recall. Rate mood shift magnitude and recovery.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Mood shift ≥3 points; returns to baseline &lt;3 min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shift; no emotional responsivity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Rapid large shifts; emotional lability; ADHD emotional dysregulation pattern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ADHD Relevance: Limbic network shows HYPO reward sensitivity (striatal dopamine deficiency causing reduced motivation) alongside HYPER emotional reactivity (ADHD emotional dysregulation). Rejection dysphoria reflects limbic hyperresponsivity.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Limbic / Emotional Network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Attention Networks (DAN/VAN) — Max Score: 16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Sustained Attention — Vigilance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Count backward from 50 aloud for 60 sec. Note fadeouts, errors, and consistency of pace.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 errors; consistent pace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Monotonous consistent count; over-controlled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Frequent pauses; pace failures; mind-wandering; ADHD sustained attention core deficit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Selective Attention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Circle all A's in 20-item letter list. Record time and errors.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&lt;45 sec; ≤2 errors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Slow; poor attentional engagement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Fast but multiple omissions AND false alarms; impulsive/inattentive combined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Divided Attention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Count backward by 2s while naming pointed objects. Dual-task performance.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 errors per task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Abandons one task; poor engagement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Completely abandons one task; impulsive task switching; ADHD divided attention failure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Visual Search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Find star target among 20 distractors. Time and accuracy.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&lt;15 sec; systematic search pattern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&gt;45 sec; gives up; poor search initiation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Fast but random; misses target due to impulsive incomplete search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Alerting Response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Examiner says 'ready' before stimulus. Assess preparatory state.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Appropriate alerting; focused readiness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Blunted alerting; not ready; disengaged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Over-alerting; impulsive response before stimulus; cannot wait; false starts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Spatial Orienting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Arrow cue before peripheral target. Note orienting benefit and disengagement.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Orienting benefit ≥100 ms; smooth disengagement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Absent benefit; poor spatial attention direction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orienting but difficulty disengaging from invalid cues; attentional capture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Response Inhibition Cancel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Cancel all circles on mixed-shape sheet. Speed and accuracy.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&lt;60 sec; ≤2 errors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Slow; &gt;120 sec; multiple omissions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Fast with multiple false cancellations; impulsive cancelling of non-targets; ADHD marker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Attentional Fatigue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Letter cancellation 5 min; compare first vs last 2.5 min.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Performance drop &lt;10%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Consistent low performance throughout; flat engagement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Sharp &gt;40% decline; rapid attentional fatigue; vigilance decrement; ADHD fatigue pattern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ADHD Relevance: Attention Networks show complex dual dysfunction: HYPO sustained/selective attention and HYPER distractibility. DAN HYPO reflects poor top-down attentional control; VAN HYPER reflects excessive bottom-up attentional capture by irrelevant stimuli.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Attention Networks (DAN/VAN) Total: _____ / 16</w:t>
      </w:r>
    </w:p>
    <w:p>
      <w:pPr>
        <w:spacing w:before="200" w:after="80"/>
      </w:pPr>
      <w:r>
        <w:rPr>
          <w:rFonts w:ascii="Calibri" w:hAnsi="Calibri"/>
          <w:b/>
          <w:i w:val="0"/>
          <w:color w:val="1B3A5C"/>
          <w:sz w:val="28"/>
        </w:rPr>
        <w:t>Network Summary Profile</w:t>
      </w:r>
    </w:p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Map network scores to phenotype for FNON-based montage and protocol selection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Network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Max 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Raw 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% of Max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Dysfunction Pattern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Priority</w:t>
            </w:r>
          </w:p>
        </w:tc>
      </w:tr>
      <w:tr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Default Mode Network (DMN)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Central Executive Network (CEN/FPN)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Salience Network (SN)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Sensorimotor Network (SMN)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Limbic / Emotional Network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Attention Networks (DAN/VAN)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GRAND TOTAL</w:t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88</w:t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</w:tr>
    </w:tbl>
    <w:p/>
    <w:p>
      <w:r>
        <w:rPr>
          <w:rFonts w:ascii="Calibri" w:hAnsi="Calibri"/>
          <w:b/>
          <w:i w:val="0"/>
          <w:color w:val="1B3A5C"/>
          <w:sz w:val="22"/>
        </w:rPr>
        <w:t xml:space="preserve">Dominant Network Dysfunction: </w:t>
      </w:r>
      <w:r>
        <w:rPr>
          <w:rFonts w:ascii="Calibri" w:hAnsi="Calibri"/>
          <w:b w:val="0"/>
          <w:i w:val="0"/>
          <w:sz w:val="22"/>
        </w:rPr>
        <w:t>_______________________________   Score: _____ / _____</w:t>
      </w:r>
    </w:p>
    <w:p/>
    <w:p>
      <w:r>
        <w:rPr>
          <w:rFonts w:ascii="Calibri" w:hAnsi="Calibri"/>
          <w:b/>
          <w:i w:val="0"/>
          <w:color w:val="1B3A5C"/>
          <w:sz w:val="22"/>
        </w:rPr>
        <w:t xml:space="preserve">Secondary Network: </w:t>
      </w:r>
      <w:r>
        <w:rPr>
          <w:rFonts w:ascii="Calibri" w:hAnsi="Calibri"/>
          <w:b w:val="0"/>
          <w:i w:val="0"/>
          <w:sz w:val="22"/>
        </w:rPr>
        <w:t>_______________________________   Tertiary: _______________________________</w:t>
      </w:r>
    </w:p>
    <w:p/>
    <w:p>
      <w:pPr>
        <w:spacing w:before="200" w:after="80"/>
      </w:pPr>
      <w:r>
        <w:rPr>
          <w:rFonts w:ascii="Calibri" w:hAnsi="Calibri"/>
          <w:b/>
          <w:i w:val="0"/>
          <w:color w:val="1B3A5C"/>
          <w:sz w:val="28"/>
        </w:rPr>
        <w:t>Phenotype Assignment</w:t>
      </w:r>
    </w:p>
    <w:p>
      <w:r>
        <w:rPr>
          <w:rFonts w:ascii="Calibri" w:hAnsi="Calibri"/>
          <w:b w:val="0"/>
          <w:i w:val="0"/>
          <w:sz w:val="22"/>
        </w:rPr>
        <w:t>ADHD phenotypes: (1) INATTENTIVE — CEN HYPO + DMN HYPER + Attention HYPO; (2) HYPERACTIVE-IMPULSIVE — SMN HYPER + SN HYPER + Limbic HYPER; (3) COMBINED — all networks affected; (4) SLUGGISH COGNITIVE TEMPO — SMN HYPO + Attention HYPO + DMN HYPO. Subtype guides stimulation laterality and frequency selection.</w:t>
      </w:r>
    </w:p>
    <w:p/>
    <w:p>
      <w:r>
        <w:rPr>
          <w:rFonts w:ascii="Calibri" w:hAnsi="Calibri"/>
          <w:b/>
          <w:i w:val="0"/>
          <w:color w:val="1B3A5C"/>
          <w:sz w:val="22"/>
        </w:rPr>
        <w:t xml:space="preserve">Assigned Phenotype: </w:t>
      </w:r>
      <w:r>
        <w:rPr>
          <w:rFonts w:ascii="Calibri" w:hAnsi="Calibri"/>
          <w:b w:val="0"/>
          <w:i w:val="0"/>
          <w:sz w:val="22"/>
        </w:rPr>
        <w:t>________________________________________</w:t>
      </w:r>
    </w:p>
    <w:p/>
    <w:p>
      <w:r>
        <w:rPr>
          <w:rFonts w:ascii="Calibri" w:hAnsi="Calibri"/>
          <w:b/>
          <w:i w:val="0"/>
          <w:color w:val="7B2D8E"/>
          <w:sz w:val="22"/>
        </w:rPr>
        <w:t xml:space="preserve">FNON Strategy: </w:t>
      </w:r>
      <w:r>
        <w:rPr>
          <w:rFonts w:ascii="Calibri" w:hAnsi="Calibri"/>
          <w:b w:val="0"/>
          <w:i w:val="0"/>
          <w:sz w:val="22"/>
        </w:rPr>
        <w:t>Primary: Facilitate CEN via anodal/high-frequency left DLPFC stimulation to enhance top-down executive control. Secondary: Inhibit DMN (right PFC or mPFC cathodal). For hyperactive subtype: add SN regulation. Stimulate during cognitive tasks for optimal efficacy.</w:t>
      </w:r>
    </w:p>
    <w:p/>
    <w:p>
      <w:pPr>
        <w:spacing w:before="200" w:after="80"/>
      </w:pPr>
      <w:r>
        <w:rPr>
          <w:rFonts w:ascii="Calibri" w:hAnsi="Calibri"/>
          <w:b/>
          <w:i w:val="0"/>
          <w:color w:val="1B3A5C"/>
          <w:sz w:val="28"/>
        </w:rPr>
        <w:t>Medication &amp; Clinical Notes</w:t>
      </w:r>
    </w:p>
    <w:p>
      <w:pPr>
        <w:shd w:val="clear" w:color="auto" w:fill="CC0000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⚠ CRITICAL: </w:t>
      </w:r>
      <w:r>
        <w:rPr>
          <w:rFonts w:ascii="Calibri" w:hAnsi="Calibri"/>
          <w:b w:val="0"/>
          <w:i w:val="0"/>
          <w:color w:val="FFFFFF"/>
          <w:sz w:val="20"/>
        </w:rPr>
        <w:t>CRITICAL: Record medication state at each assessment. Results may differ significantly ON vs OFF medication.</w:t>
      </w:r>
    </w:p>
    <w:p>
      <w:r>
        <w:rPr>
          <w:rFonts w:ascii="Calibri" w:hAnsi="Calibri"/>
          <w:b/>
          <w:i w:val="0"/>
          <w:color w:val="1B3A5C"/>
          <w:sz w:val="22"/>
        </w:rPr>
        <w:t xml:space="preserve">Medication State at Assessment: </w:t>
      </w:r>
      <w:r>
        <w:rPr>
          <w:rFonts w:ascii="Calibri" w:hAnsi="Calibri"/>
          <w:b w:val="0"/>
          <w:i w:val="0"/>
          <w:sz w:val="22"/>
        </w:rPr>
        <w:t>□ ON Medication    □ OFF Medication    □ Medication Wash-out    □ Unmedicated</w:t>
      </w:r>
    </w:p>
    <w:p/>
    <w:p>
      <w:r>
        <w:rPr>
          <w:rFonts w:ascii="Calibri" w:hAnsi="Calibri"/>
          <w:b/>
          <w:i w:val="0"/>
          <w:color w:val="1B3A5C"/>
          <w:sz w:val="20"/>
        </w:rPr>
        <w:t xml:space="preserve">Medication Name/Dose/Timing: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Time Since Last Dose: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Clinical Observations: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Network Interpretation Notes: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Next Assessment Date: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