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SOZO BRAIN CENTER — PARTNERS TIER</w:t>
      </w:r>
    </w:p>
    <w:p>
      <w:pPr>
        <w:spacing w:after="8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34"/>
          <w:szCs w:val="34"/>
        </w:rPr>
        <w:t>ADHD Responder Tracking &amp; Classification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 w:val="0"/>
          <w:bCs w:val="false"/>
          <w:i w:val="false"/>
          <w:iCs w:val="false"/>
          <w:color w:val="1B3A5C"/>
          <w:sz w:val="22"/>
          <w:szCs w:val="22"/>
        </w:rPr>
        <w:t>SOZO Response Assessment, Stimulant-tDCS Documentation &amp; FNON Non-Responder Pathway</w:t>
      </w:r>
    </w:p>
    <w:p>
      <w:pPr>
        <w:pBdr>
          <w:top w:val="single" w:color="7B2D8E" w:sz="2"/>
          <w:left w:val="single" w:color="7B2D8E" w:sz="2"/>
          <w:bottom w:val="single" w:color="7B2D8E" w:sz="2"/>
          <w:right w:val="single" w:color="7B2D8E" w:sz="2"/>
        </w:pBdr>
        <w:shd w:fill="F0E6F6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7B2D8E"/>
          <w:sz w:val="20"/>
          <w:szCs w:val="20"/>
        </w:rPr>
        <w:t xml:space="preserve">FNON + Evidence-Based Assessment — Includes Brain Network Analysis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Patient Name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File Number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Phenotype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Inattentive  □ Hyperactive-Impulsive  □ Combined  □ Emotional Dysregulation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Symptom Severity / Stage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Treating Doctor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Assessment Point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 Session 8–10  □ End of Block  □ Follow-Up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Sessions Completed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___ / ___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bookmarkStart w:name="1__SOZO_Operational_Response_Definition" w:id="1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1. SOZO Operational Response Definition</w:t>
      </w:r>
      <w:bookmarkEnd w:id="2"/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Define response at end of block (typically 10–20 sessions). Patient must meet criteria in at least one domain.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000"/>
        <w:gridCol w:w="1000"/>
        <w:gridCol w:w="2960"/>
      </w:tblGrid>
      <w:tr>
        <w:tc>
          <w:tcPr>
            <w:tcW w:type="dxa" w:w="1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Domain</w:t>
            </w:r>
          </w:p>
        </w:tc>
        <w:tc>
          <w:tcPr>
            <w:tcW w:type="dxa" w:w="4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Response Criteria</w:t>
            </w:r>
          </w:p>
        </w:tc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Met?</w:t>
            </w:r>
          </w:p>
        </w:tc>
        <w:tc>
          <w:tcPr>
            <w:tcW w:type="dxa" w:w="2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Notes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Attention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≥30% improvement in CAARS inattention subscale or CPT omissions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Executive Function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Improvement in working memory, planning, or inhibition tasks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Hyperactivity/Impulsivity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Reduction in CAARS hyperactivity subscale or commission errors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Function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Better occupational/academic performance by self/clinician report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</w:r>
          </w:p>
        </w:tc>
      </w:tr>
    </w:tbl>
    <w:p>
      <w:pPr>
        <w:pBdr>
          <w:top w:val="single" w:color="2E75B6" w:sz="2"/>
          <w:left w:val="single" w:color="2E75B6" w:sz="2"/>
          <w:bottom w:val="single" w:color="2E75B6" w:sz="2"/>
          <w:right w:val="single" w:color="2E75B6" w:sz="2"/>
        </w:pBdr>
        <w:shd w:fill="D6E4F0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1B3A5C"/>
          <w:sz w:val="20"/>
          <w:szCs w:val="20"/>
        </w:rPr>
        <w:t>This avoids "false non-responder" labelling due to stimulant peak/trough variability and sleep-dependent cognitive performance.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bookmarkStart w:name="2__Likely_Responder_Profiles" w:id="3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2. Likely Responder Profiles</w:t>
      </w:r>
      <w:bookmarkEnd w:id="4"/>
    </w:p>
    <w:p>
      <w:pPr>
        <w:pBdr>
          <w:top w:val="single" w:color="7B2D8E" w:sz="2"/>
          <w:left w:val="single" w:color="7B2D8E" w:sz="2"/>
          <w:bottom w:val="single" w:color="7B2D8E" w:sz="2"/>
          <w:right w:val="single" w:color="7B2D8E" w:sz="2"/>
        </w:pBdr>
        <w:shd w:fill="F0E6F6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7B2D8E"/>
          <w:sz w:val="20"/>
          <w:szCs w:val="20"/>
        </w:rPr>
        <w:t xml:space="preserve">FNON-based responder profiling maps treatment targets to network hypotheses for optimised protocol selection.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2200"/>
        <w:gridCol w:w="2360"/>
      </w:tblGrid>
      <w:tr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Phenotype</w:t>
            </w:r>
          </w:p>
        </w:tc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Best-Fit Patient Profile</w:t>
            </w:r>
          </w:p>
        </w:tc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Protocol</w:t>
            </w:r>
          </w:p>
        </w:tc>
        <w:tc>
          <w:tcPr>
            <w:tcW w:type="dxa" w:w="2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Evidence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Inattentive (DLPFC)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Chronic inattention, mind-wandering, DMN-CEN imbalance; low working memory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L-DLPFC anodal tDCS + working memory training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Moderate (RCT support)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Hyperactive (R-IFC)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Impulse control deficit; orbitofrontal/IFC underactivity; action monitoring deficit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R-IFC/DLPFC tDCS + response inhibition tasks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Emerging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Combined (Bilateral DLPFC)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Inattention + hyperactivity; widespread prefrontal dysregulation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Bilateral DLPFC tDCS + dual-task training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Moderate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Emotional Dysregulation (DLPFC+taVNS)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Mood instability, frustration intolerance; limbic-prefrontal dysregulation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L-DLPFC tDCS + taVNS + emotion regulation tasks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Emerging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Working Memory-dominant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Severe WM deficit; DLPFC-parietal network impairment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DLPFC + parietal tDCS + N-back training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Moderate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Sleep-comorbid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ADHD + chronic sleep disruption; PFC downregulation from sleep debt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DLPFC tDCS + CES for sleep + morning scheduling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Emerging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bookmarkStart w:name="3__Predictors_of_Better_Response" w:id="5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3. Predictors of Better Response</w:t>
      </w:r>
      <w:bookmarkEnd w:id="6"/>
    </w:p>
    <w:p>
      <w:pPr>
        <w:pStyle w:val="Heading2"/>
        <w:spacing w:after="160" w:before="280"/>
      </w:pPr>
      <w:bookmarkStart w:name="3A__Clinical_Predictors" w:id="7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3A. Clinical Predictors</w:t>
      </w:r>
      <w:bookmarkEnd w:id="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000"/>
        <w:gridCol w:w="2160"/>
      </w:tblGrid>
      <w:tr>
        <w:tc>
          <w:tcPr>
            <w:tcW w:type="dxa" w:w="3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Predictor</w:t>
            </w:r>
          </w:p>
        </w:tc>
        <w:tc>
          <w:tcPr>
            <w:tcW w:type="dxa" w:w="4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Why It Matters</w:t>
            </w:r>
          </w:p>
        </w:tc>
        <w:tc>
          <w:tcPr>
            <w:tcW w:type="dxa" w:w="21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Present?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Inattention as primary symptom subtype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DLPFC tDCS most effective for attention/WM phenotype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Stimulant at stable dose with predictable peak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Dopaminergic tone required for optimal tDCS plasticity window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Capacity for cognitive training tasks during tDCS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Activity-dependent plasticity is essential for ADHD gains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Network hypothesis confirmed by 6-Network Assessment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FNON CEN/DMN imbalance confirmation guides target selection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3B__Protocol_Predictors__Modifiable_" w:id="9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3B. Protocol Predictors (Modifiable)</w:t>
      </w:r>
      <w:bookmarkEnd w:id="10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Factor</w:t>
            </w:r>
          </w:p>
        </w:tc>
        <w:tc>
          <w:tcPr>
            <w:tcW w:type="dxa" w:w="6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Recommendation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Target choice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L-DLPFC anodal for inattention; R-IFC for impulsivity; bilateral for combined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Timing window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Administer during stimulant peak (45–90 min post-dose) for optimal dopaminergic state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Concurrent task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Working memory or inhibition tasks during tDCS critical for ADHD outcomes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Network alignment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FNON CEN hypoactivation + DMN hyperactivation guides DLPFC montage selection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3C__Measurement_Predictors" w:id="11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3C. Measurement Predictors</w:t>
      </w:r>
      <w:bookmarkEnd w:id="12"/>
    </w:p>
    <w:p>
      <w:pPr>
        <w:pBdr>
          <w:top w:val="single" w:color="CC0000" w:sz="2"/>
          <w:left w:val="single" w:color="CC0000" w:sz="2"/>
          <w:bottom w:val="single" w:color="CC0000" w:sz="2"/>
          <w:right w:val="single" w:color="CC0000" w:sz="2"/>
        </w:pBdr>
        <w:shd w:fill="FFD9D9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CC0000"/>
          <w:sz w:val="20"/>
          <w:szCs w:val="20"/>
        </w:rPr>
        <w:t>WARNING: If baseline is assessed at stimulant trough and follow-up at peak (or vice versa), or if the night before differed in sleep quality, you can create a false responder or non-responder. Always document stimulant timing, time of day, and prior-night sleep at each assessment.</w:t>
      </w:r>
    </w:p>
    <w:p>
      <w:r>
        <w:br w:type="page"/>
      </w:r>
    </w:p>
    <w:p>
      <w:pPr>
        <w:pStyle w:val="Heading1"/>
        <w:spacing w:after="200" w:before="360"/>
      </w:pPr>
      <w:bookmarkStart w:name="4__SOZO_Response_Classification" w:id="13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4. SOZO Response Classification</w:t>
      </w:r>
      <w:bookmarkEnd w:id="14"/>
    </w:p>
    <w:p>
      <w:pPr>
        <w:spacing w:after="120" w:before="0" w:line="276"/>
        <w:jc w:val="left"/>
      </w:pPr>
      <w:r>
        <w:rPr>
          <w:rFonts w:ascii="Arial" w:cs="Arial" w:eastAsia="Arial" w:hAnsi="Arial"/>
          <w:b w:val="0"/>
          <w:bCs w:val="false"/>
          <w:i w:val="false"/>
          <w:iCs w:val="false"/>
          <w:color w:val="000000"/>
          <w:sz w:val="22"/>
          <w:szCs w:val="22"/>
        </w:rPr>
        <w:t>Use at Session 10 (or 8–10) and again at end of block: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Classification</w:t>
            </w:r>
          </w:p>
        </w:tc>
        <w:tc>
          <w:tcPr>
            <w:tcW w:type="dxa" w:w="3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Criteria</w:t>
            </w:r>
          </w:p>
        </w:tc>
        <w:tc>
          <w:tcPr>
            <w:tcW w:type="dxa" w:w="3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Action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Responder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≥30% improvement in primary ADHD measure + functional gain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Continue protocol; plan maintenance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Partial Responder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15–29% improvement OR attention but not executive gains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Re-phenotype; adjust task; consider bilateral montage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Non-Responder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&lt;15% improvement across domains after 10+ sessions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Follow FNON Non-Responder Pathway (Section 6)</w:t>
            </w:r>
          </w:p>
        </w:tc>
      </w:tr>
    </w:tbl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PATIENT CLASSIFICATION: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□ Responder  □ Partial Responder  □ Non-Responder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bookmarkStart w:name="5__Likely_Non_Responder_Profiles" w:id="15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5. Likely Non-Responder Profiles</w:t>
      </w:r>
      <w:bookmarkEnd w:id="16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Profile</w:t>
            </w:r>
          </w:p>
        </w:tc>
        <w:tc>
          <w:tcPr>
            <w:tcW w:type="dxa" w:w="34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Why Limited Response</w:t>
            </w:r>
          </w:p>
        </w:tc>
        <w:tc>
          <w:tcPr>
            <w:tcW w:type="dxa" w:w="34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Alternative Strategy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Severe comorbid anxiety or depression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Emotional dysregulation masking attention gains; competing circuits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Treat comorbidity first; adjust protocol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Medication non-compliance or inconsistent dosing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Unstable dopaminergic tone confounds tDCS timing window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Stabilise medication schedule; re-baseline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ASD comorbidity with rigid routines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Task compliance limited; sensory sensitivities reduce tolerance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Adapted task protocol; sensory accommodations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Chronic sleep deprivation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PFC downregulation from sleep debt negates tDCS gains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Address sleep first; morning session scheduling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bookmarkStart w:name="6__SOZO_Non_Responder_Pathway__FNON_Level_5_" w:id="17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6. SOZO Non-Responder Pathway (FNON Level 5)</w:t>
      </w:r>
      <w:bookmarkEnd w:id="18"/>
    </w:p>
    <w:p>
      <w:pPr>
        <w:pBdr>
          <w:top w:val="single" w:color="7B2D8E" w:sz="2"/>
          <w:left w:val="single" w:color="7B2D8E" w:sz="2"/>
          <w:bottom w:val="single" w:color="7B2D8E" w:sz="2"/>
          <w:right w:val="single" w:color="7B2D8E" w:sz="2"/>
        </w:pBdr>
        <w:shd w:fill="F0E6F6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7B2D8E"/>
          <w:sz w:val="20"/>
          <w:szCs w:val="20"/>
        </w:rPr>
        <w:t xml:space="preserve">If no meaningful improvement after 8–10 sessions, follow FNON Level 5 adjustment pathway: Reassess phenotype → Revise network hypothesis → Modify montage/modality.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4400"/>
        <w:gridCol w:w="1960"/>
      </w:tblGrid>
      <w:tr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4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Details</w:t>
            </w:r>
          </w:p>
        </w:tc>
        <w:tc>
          <w:tcPr>
            <w:tcW w:type="dxa" w:w="1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Done?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Confirm Fundamentals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Correct montage, impedance, session compliance, dose timing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Re-Phenotype (FNON Level 1)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Is it truly motor-dominant or executive-dominant? Recheck 6-Network scores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Revise Network Hypothesis (FNON Level 2)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Map revised phenotype to new network targets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Change Target (FNON Level 3)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Switch montage AND/OR switch modality based on revised hypothesis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Review Medication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>Review ON/OFF state variability; standardise ADHD medication timing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Add Modality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Add TPS if tDCS alone; add taVNS if limbic involvement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Consider Discontinuation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If no response after 2 full blocks, document and discuss with patient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</w:tbl>
    <w:p>
      <w:pPr>
        <w:pBdr>
          <w:top w:val="single" w:color="CC0000" w:sz="2"/>
          <w:left w:val="single" w:color="CC0000" w:sz="2"/>
          <w:bottom w:val="single" w:color="CC0000" w:sz="2"/>
          <w:right w:val="single" w:color="CC0000" w:sz="2"/>
        </w:pBdr>
        <w:shd w:fill="FFD9D9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CC0000"/>
          <w:sz w:val="20"/>
          <w:szCs w:val="20"/>
        </w:rPr>
        <w:t>DO NOT escalate intensity beyond safety limits. Always follow SOZO FNON Protocol safety parameters.</w:t>
      </w:r>
    </w:p>
    <w:p>
      <w:r>
        <w:br w:type="page"/>
      </w:r>
    </w:p>
    <w:p>
      <w:pPr>
        <w:pStyle w:val="Heading1"/>
        <w:spacing w:after="200" w:before="360"/>
      </w:pPr>
      <w:bookmarkStart w:name="7__Levodopa_tDCS_Scheduling___Documentation" w:id="19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>7. Stimulant/Atomoxetine-tDCS Scheduling &amp; Documentation</w:t>
      </w:r>
      <w:bookmarkEnd w:id="20"/>
    </w:p>
    <w:p>
      <w:pPr>
        <w:spacing w:after="120" w:before="0" w:line="276"/>
        <w:jc w:val="left"/>
      </w:pPr>
      <w:r>
        <w:rPr>
          <w:rFonts w:ascii="Arial" w:cs="Arial" w:eastAsia="Arial" w:hAnsi="Arial"/>
          <w:b w:val="0"/>
          <w:bCs w:val="false"/>
          <w:i w:val="false"/>
          <w:iCs w:val="false"/>
          <w:color w:val="000000"/>
          <w:sz w:val="22"/>
          <w:szCs w:val="22"/>
        </w:rPr>
        <w:t>tDCS effects are state-dependent. Dopaminergic/noradrenergic tone from stimulants modulates prefrontal excitability and NMDA-dependent plasticity.</w:t>
      </w:r>
    </w:p>
    <w:p>
      <w:pPr>
        <w:pStyle w:val="Heading2"/>
        <w:spacing w:after="160" w:before="280"/>
      </w:pPr>
      <w:bookmarkStart w:name="7A__ON_State_vs_OFF_State_Comparison" w:id="21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>7A. Stimulant ON-Peak vs Trough State Comparison</w:t>
      </w:r>
      <w:bookmarkEnd w:id="2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Factor</w:t>
            </w:r>
          </w:p>
        </w:tc>
        <w:tc>
          <w:tcPr>
            <w:tcW w:type="dxa" w:w="3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Stimulant Peak (Default SOZO)</w:t>
            </w:r>
          </w:p>
        </w:tc>
        <w:tc>
          <w:tcPr>
            <w:tcW w:type="dxa" w:w="3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Stimulant Trough (Avoid for Primary Sessions)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Definition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45–90 min after stimulant dose (peak plasma concentration)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before stimulant dose or at wearing-off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Task Participation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Better focus and task engagement; optimal WM capacity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Inattention and restlessness higher; poor compliance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Plasticity Substrate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Dopaminergic/NE tone supports DLPFC LTP-like plasticity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Reduced dopaminergic modulation; suboptimal plasticity window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Comparison Validity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Stable within-block comparisons if timing is consistent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High variability; cannot attribute change to tDCS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Evidence Support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Activity-dependent plasticity requires sufficient dopaminergic state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Controlled off-drug protocols only; document carefully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7B__SOZO_Scheduling_Rules" w:id="23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7B. SOZO Scheduling Rules</w:t>
      </w:r>
      <w:bookmarkEnd w:id="24"/>
    </w:p>
    <w:p>
      <w:pPr>
        <w:pBdr>
          <w:top w:val="single" w:color="CC0000" w:sz="2"/>
          <w:left w:val="single" w:color="CC0000" w:sz="2"/>
          <w:bottom w:val="single" w:color="CC0000" w:sz="2"/>
          <w:right w:val="single" w:color="CC0000" w:sz="2"/>
        </w:pBdr>
        <w:shd w:fill="FFD9D9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CC0000"/>
          <w:sz w:val="20"/>
          <w:szCs w:val="20"/>
        </w:rPr>
        <w:t>SOZO Standard Rule: Choose ONE stimulant timing window for a block and keep it CONSISTENT. Assessing during stimulant peak vs trough is one of the most common sources of false classification in ADHD.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Domain</w:t>
            </w:r>
          </w:p>
        </w:tc>
        <w:tc>
          <w:tcPr>
            <w:tcW w:type="dxa" w:w="6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Details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Stimulant Name, Formulation &amp; Dose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Dose Schedule (IR/XR)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Estimated Peak Window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___ to ___ minutes post-dose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Chosen State for Block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Stimulant peak (default)  □ Off-medication (document rationale)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Session Timing Post-Dose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___ minutes after dose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Sleep Quality Night Before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Good  □ Fair  □ Poor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Session Start Time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Keep consistent: ___:___ AM/PM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7C__Levodopa___tDCS_Pairing_by_PD_Phenotype" w:id="25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>7C. Stimulant + tDCS Pairing by ADHD Phenotype</w:t>
      </w:r>
      <w:bookmarkEnd w:id="26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2800"/>
        <w:gridCol w:w="2560"/>
      </w:tblGrid>
      <w:tr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Phenotype</w:t>
            </w:r>
          </w:p>
        </w:tc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tDCS Config</w:t>
            </w:r>
          </w:p>
        </w:tc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Concurrent Task</w:t>
            </w:r>
          </w:p>
        </w:tc>
        <w:tc>
          <w:tcPr>
            <w:tcW w:type="dxa" w:w="25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Outcome Measures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Inattentive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L-DLPFC anodal 2mA during peak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N-back / sustained attention tasks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CAARS-Inattention, CPT omissions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Hyperactive-Impulsive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R-IFC/DLPFC tDCS during peak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Response inhibition / Stop-Signal tasks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CAARS-Hyperactivity, CPT commissions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Combined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Bilateral DLPFC tDCS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Dual-task cognitive training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Conners CAARS full scale, BRIEF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Emotional Dysregulation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L-DLPFC + taVNS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Emotion regulation exercises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CAARS, DERS, BRIEF-ERC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7D__Levodopa_tDCS_Documentation_Checklist" w:id="27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>7D. Stimulant-tDCS Documentation Checklist</w:t>
      </w:r>
      <w:bookmarkEnd w:id="2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2000"/>
        <w:gridCol w:w="1960"/>
      </w:tblGrid>
      <w:tr>
        <w:tc>
          <w:tcPr>
            <w:tcW w:type="dxa" w:w="5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Documentation Item</w:t>
            </w:r>
          </w:p>
        </w:tc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Completed</w:t>
            </w:r>
          </w:p>
        </w:tc>
        <w:tc>
          <w:tcPr>
            <w:tcW w:type="dxa" w:w="1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N/A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Stimulant/Atomoxetine name, formulation, and dose recorded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Session timing relative to dose (minutes post-dose) documented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Stimulant peak window confirmed at session start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Baseline assessment stimulant state recorded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Follow-up in same stimulant timing window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Medication changes during block documented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Sleep quality night before session noted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Session start time consistent across block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Outcomes interpreted with stimulant timing context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bookmarkStart w:name="8__SOZO_Responder_Signature_Data_Collection" w:id="29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8. SOZO Responder Signature Data Collection</w:t>
      </w:r>
      <w:bookmarkEnd w:id="30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800"/>
        <w:gridCol w:w="1960"/>
      </w:tblGrid>
      <w:tr>
        <w:tc>
          <w:tcPr>
            <w:tcW w:type="dxa" w:w="3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Data Point</w:t>
            </w:r>
          </w:p>
        </w:tc>
        <w:tc>
          <w:tcPr>
            <w:tcW w:type="dxa" w:w="3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Value / Detail</w:t>
            </w:r>
          </w:p>
        </w:tc>
        <w:tc>
          <w:tcPr>
            <w:tcW w:type="dxa" w:w="1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Recorded?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Phenotype label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H&amp;Y stage + disease duration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Stage: ___ Duration: ___ years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Montage + protocol ID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Network hypothesis (FNON Level 2)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Concurrent task type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Number of sessions completed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___ / ___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>Adhd medication timing protocol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Baseline PRS / outcome scores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Follow-up PRS / outcome scores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Response classification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 Responder □ Partial □ Non-Responder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Adverse events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Regulator_Safe_Language_Guide" w:id="31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Regulator-Safe Language Guide</w:t>
      </w:r>
      <w:bookmarkEnd w:id="3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Appropriate to State</w:t>
            </w:r>
          </w:p>
        </w:tc>
        <w:tc>
          <w:tcPr>
            <w:tcW w:type="dxa" w:w="4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AVOID Stating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is an adjunctive intervention alongside stable ADHD medication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replaces stimulant medication in ADHD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Effects may be enhanced during stimulant peak with concurrent cognitive training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cures or resolves ADHD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Evidence is promising; effect sizes are moderate; response varies by phenotype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is equivalent to stimulants for ADHD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Clinical Notes &amp; Rationale: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_______________________________________________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_______________________________________________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20"/>
        <w:gridCol w:w="2520"/>
        <w:gridCol w:w="2520"/>
      </w:tblGrid>
      <w:tr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25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25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Signature</w:t>
            </w:r>
          </w:p>
        </w:tc>
        <w:tc>
          <w:tcPr>
            <w:tcW w:type="dxa" w:w="25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Date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Doctor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 w:space="1"/>
      </w:pBdr>
      <w:tabs>
        <w:tab w:val="right" w:pos="9360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1B3A5C"/>
        <w:sz w:val="16"/>
        <w:szCs w:val="16"/>
      </w:rPr>
      <w:t xml:space="preserve">CONFIDENTIAL — SOZO Brain Center</w:t>
    </w:r>
    <w:r>
      <w:rPr>
        <w:rFonts w:ascii="Arial" w:cs="Arial" w:eastAsia="Arial" w:hAnsi="Arial"/>
        <w:b w:val="false"/>
        <w:bCs w:val="false"/>
        <w:i w:val="false"/>
        <w:iCs w:val="false"/>
        <w:color w:val="000000"/>
        <w:sz w:val="22"/>
        <w:szCs w:val="22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olor w:val="1B3A5C"/>
        <w:sz w:val="16"/>
        <w:szCs w:val="16"/>
      </w:rPr>
      <w:t xml:space="preserve">Page </w:t>
    </w:r>
    <w:r>
      <w:rPr>
        <w:rFonts w:ascii="Arial" w:cs="Arial" w:eastAsia="Arial" w:hAnsi="Arial"/>
        <w:color w:val="1B3A5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</w:pPr>
    <w:r>
      <w:rPr>
        <w:rFonts w:ascii="Arial" w:cs="Arial" w:eastAsia="Arial" w:hAnsi="Arial"/>
        <w:b w:val="false"/>
        <w:bCs w:val="false"/>
        <w:i/>
        <w:iCs/>
        <w:color w:val="2E75B6"/>
        <w:sz w:val="16"/>
        <w:szCs w:val="16"/>
      </w:rPr>
      <w:t xml:space="preserve">SOZO FNON — PD Responder Tracking &amp; Classification | Partners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1B3A5C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2026-03-13T14:16:32.270Z</dcterms:created>
  <dcterms:modified xsi:type="dcterms:W3CDTF">2026-03-13T14:16:32.270Z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