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SOZO BRAIN CENTER — PARTNERS TIER</w:t>
      </w:r>
    </w:p>
    <w:p>
      <w:pPr>
        <w:spacing w:after="80" w:before="0" w:line="276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2E75B6"/>
          <w:sz w:val="34"/>
          <w:szCs w:val="34"/>
        </w:rPr>
        <w:t>Alzheimer's Responder Tracking &amp; Classification</w:t>
      </w:r>
    </w:p>
    <w:p>
      <w:pPr>
        <w:spacing w:after="60" w:before="0" w:line="276"/>
        <w:jc w:val="center"/>
      </w:pPr>
      <w:r>
        <w:rPr>
          <w:rFonts w:ascii="Arial" w:cs="Arial" w:eastAsia="Arial" w:hAnsi="Arial"/>
          <w:b w:val="0"/>
          <w:bCs w:val="false"/>
          <w:i w:val="false"/>
          <w:iCs w:val="false"/>
          <w:color w:val="1B3A5C"/>
          <w:sz w:val="22"/>
          <w:szCs w:val="22"/>
        </w:rPr>
        <w:t>SOZO Response Assessment, ChEI/Memantine-tDCS Documentation &amp; FNON Non-Responder Pathway</w:t>
      </w:r>
    </w:p>
    <w:p>
      <w:pPr>
        <w:pBdr>
          <w:top w:val="single" w:color="7B2D8E" w:sz="2"/>
          <w:left w:val="single" w:color="7B2D8E" w:sz="2"/>
          <w:bottom w:val="single" w:color="7B2D8E" w:sz="2"/>
          <w:right w:val="single" w:color="7B2D8E" w:sz="2"/>
        </w:pBdr>
        <w:shd w:fill="F0E6F6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7B2D8E"/>
          <w:sz w:val="20"/>
          <w:szCs w:val="20"/>
        </w:rPr>
        <w:t xml:space="preserve">FNON + Evidence-Based Assessment — Includes Brain Network Analysis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Patient Name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File Number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Phenotype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Amnestic MCI  □ Non-amnestic MCI  □ Mild AD  □ Moderate AD  □ Mixed dementia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Symptom Severity / Stage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Treating Doctor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Assessment Point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 Session 8–10  □ End of Block  □ Follow-Up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Sessions Completed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___ / ___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bookmarkStart w:name="1__SOZO_Operational_Response_Definition" w:id="1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1. SOZO Operational Response Definition</w:t>
      </w:r>
      <w:bookmarkEnd w:id="2"/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Define response at end of block (typically 10–20 sessions). Patient must meet criteria in at least one domain.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000"/>
        <w:gridCol w:w="1000"/>
        <w:gridCol w:w="2960"/>
      </w:tblGrid>
      <w:tr>
        <w:tc>
          <w:tcPr>
            <w:tcW w:type="dxa" w:w="1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Domain</w:t>
            </w:r>
          </w:p>
        </w:tc>
        <w:tc>
          <w:tcPr>
            <w:tcW w:type="dxa" w:w="4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Response Criteria</w:t>
            </w:r>
          </w:p>
        </w:tc>
        <w:tc>
          <w:tcPr>
            <w:tcW w:type="dxa" w:w="1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Met?</w:t>
            </w:r>
          </w:p>
        </w:tc>
        <w:tc>
          <w:tcPr>
            <w:tcW w:type="dxa" w:w="2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Notes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Episodic Memory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Improvement or stabilisation on ADAS-Cog memory subscale or word-list recall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Executive/Attention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Improvement on Trail Making B, Digit Span, or MoCA executive items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Language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Improved naming (BNT), verbal fluency, or word-finding ability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Daily Function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Stabilisation or improvement in ADLs by caregiver report (ADCS-ADL)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</w:r>
          </w:p>
        </w:tc>
      </w:tr>
    </w:tbl>
    <w:p>
      <w:pPr>
        <w:pBdr>
          <w:top w:val="single" w:color="2E75B6" w:sz="2"/>
          <w:left w:val="single" w:color="2E75B6" w:sz="2"/>
          <w:bottom w:val="single" w:color="2E75B6" w:sz="2"/>
          <w:right w:val="single" w:color="2E75B6" w:sz="2"/>
        </w:pBdr>
        <w:shd w:fill="D6E4F0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1B3A5C"/>
          <w:sz w:val="20"/>
          <w:szCs w:val="20"/>
        </w:rPr>
        <w:t>This avoids "false non-responder" labelling due to sundowning, time-of-day cognitive fluctuation, and caregiver vs patient reporting discordance.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bookmarkStart w:name="2__Likely_Responder_Profiles" w:id="3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2. Likely Responder Profiles</w:t>
      </w:r>
      <w:bookmarkEnd w:id="4"/>
    </w:p>
    <w:p>
      <w:pPr>
        <w:pBdr>
          <w:top w:val="single" w:color="7B2D8E" w:sz="2"/>
          <w:left w:val="single" w:color="7B2D8E" w:sz="2"/>
          <w:bottom w:val="single" w:color="7B2D8E" w:sz="2"/>
          <w:right w:val="single" w:color="7B2D8E" w:sz="2"/>
        </w:pBdr>
        <w:shd w:fill="F0E6F6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7B2D8E"/>
          <w:sz w:val="20"/>
          <w:szCs w:val="20"/>
        </w:rPr>
        <w:t xml:space="preserve">FNON-based responder profiling maps treatment targets to network hypotheses for optimised protocol selection.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2200"/>
        <w:gridCol w:w="2360"/>
      </w:tblGrid>
      <w:tr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Phenotype</w:t>
            </w:r>
          </w:p>
        </w:tc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Best-Fit Patient Profile</w:t>
            </w:r>
          </w:p>
        </w:tc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Protocol</w:t>
            </w:r>
          </w:p>
        </w:tc>
        <w:tc>
          <w:tcPr>
            <w:tcW w:type="dxa" w:w="2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Evidence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Amnestic MCI (temporal)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Isolated memory deficit; hippocampal-entorhinal circuit impairment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Temporal tDCS (T3/T4) + memory encoding tasks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Moderate (RCT support)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Non-amnestic MCI (DLPFC)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Executive/attention deficit primary; frontal network involved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DLPFC tDCS + executive training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Emerging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Mild AD (multi-target)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Memory + executive decline; temporo-parietal + prefrontal involvement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DLPFC + temporal tDCS sequence + memory tasks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Moderate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Language-dominant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Semantic/naming deficits; left temporal-parietal involvement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Left temporal tDCS + language tasks (naming, fluency)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Emerging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Behavioural/BPSD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Apathy, depression, agitation; mesolimbic-frontal circuit dysfunction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DLPFC tDCS + taVNS + behavioural activation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Emerging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Moderate AD (stabilisation)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Goal is stabilisation not improvement; advanced disease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Low-intensity bilateral tDCS + caregiver-assisted tasks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Emerging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bookmarkStart w:name="3__Predictors_of_Better_Response" w:id="5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3. Predictors of Better Response</w:t>
      </w:r>
      <w:bookmarkEnd w:id="6"/>
    </w:p>
    <w:p>
      <w:pPr>
        <w:pStyle w:val="Heading2"/>
        <w:spacing w:after="160" w:before="280"/>
      </w:pPr>
      <w:bookmarkStart w:name="3A__Clinical_Predictors" w:id="7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3A. Clinical Predictors</w:t>
      </w:r>
      <w:bookmarkEnd w:id="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000"/>
        <w:gridCol w:w="2160"/>
      </w:tblGrid>
      <w:tr>
        <w:tc>
          <w:tcPr>
            <w:tcW w:type="dxa" w:w="3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Predictor</w:t>
            </w:r>
          </w:p>
        </w:tc>
        <w:tc>
          <w:tcPr>
            <w:tcW w:type="dxa" w:w="4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Why It Matters</w:t>
            </w:r>
          </w:p>
        </w:tc>
        <w:tc>
          <w:tcPr>
            <w:tcW w:type="dxa" w:w="21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Present?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MCI or mild AD stage (not moderate/severe)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Sufficient cortical reserve for plasticity-based stabilisation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ChEI at stable dose ≥3 months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Cholinergic tone supports hippocampal LTP-like mechanisms for tDCS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Capacity to engage in concurrent memory tasks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Activity-dependent plasticity requires active engagement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Network hypothesis confirmed by 6-Network Assessment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FNON hippocampal/temporal network mapping guides targeting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 □ N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3B__Protocol_Predictors__Modifiable_" w:id="9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3B. Protocol Predictors (Modifiable)</w:t>
      </w:r>
      <w:bookmarkEnd w:id="10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Factor</w:t>
            </w:r>
          </w:p>
        </w:tc>
        <w:tc>
          <w:tcPr>
            <w:tcW w:type="dxa" w:w="6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Recommendation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Target choice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Temporal (T3/T4) for memory; DLPFC for executive; bilateral for mixed AD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Session scheduling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Morning sessions recommended to avoid sundowning and fatigue effects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Concurrent task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Memory encoding tasks during tDCS; caregiver-assisted for compliance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Network alignment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FNON hippocampal and default mode network mapping guides electrode placement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3C__Measurement_Predictors" w:id="11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3C. Measurement Predictors</w:t>
      </w:r>
      <w:bookmarkEnd w:id="12"/>
    </w:p>
    <w:p>
      <w:pPr>
        <w:pBdr>
          <w:top w:val="single" w:color="CC0000" w:sz="2"/>
          <w:left w:val="single" w:color="CC0000" w:sz="2"/>
          <w:bottom w:val="single" w:color="CC0000" w:sz="2"/>
          <w:right w:val="single" w:color="CC0000" w:sz="2"/>
        </w:pBdr>
        <w:shd w:fill="FFD9D9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CC0000"/>
          <w:sz w:val="20"/>
          <w:szCs w:val="20"/>
        </w:rPr>
        <w:t>WARNING: If baseline is assessed in the morning (peak cognitive window) and follow-up in the afternoon (sundowning period), or if caregiver vs patient reporting differs across assessments, you can create a false responder or non-responder. Always assess at the same time of day with the same informant.</w:t>
      </w:r>
    </w:p>
    <w:p>
      <w:r>
        <w:br w:type="page"/>
      </w:r>
    </w:p>
    <w:p>
      <w:pPr>
        <w:pStyle w:val="Heading1"/>
        <w:spacing w:after="200" w:before="360"/>
      </w:pPr>
      <w:bookmarkStart w:name="4__SOZO_Response_Classification" w:id="13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4. SOZO Response Classification</w:t>
      </w:r>
      <w:bookmarkEnd w:id="14"/>
    </w:p>
    <w:p>
      <w:pPr>
        <w:spacing w:after="120" w:before="0" w:line="276"/>
        <w:jc w:val="left"/>
      </w:pPr>
      <w:r>
        <w:rPr>
          <w:rFonts w:ascii="Arial" w:cs="Arial" w:eastAsia="Arial" w:hAnsi="Arial"/>
          <w:b w:val="0"/>
          <w:bCs w:val="false"/>
          <w:i w:val="false"/>
          <w:iCs w:val="false"/>
          <w:color w:val="000000"/>
          <w:sz w:val="22"/>
          <w:szCs w:val="22"/>
        </w:rPr>
        <w:t>Use at Session 10 (or 8–10) and again at end of block: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Classification</w:t>
            </w:r>
          </w:p>
        </w:tc>
        <w:tc>
          <w:tcPr>
            <w:tcW w:type="dxa" w:w="3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Criteria</w:t>
            </w:r>
          </w:p>
        </w:tc>
        <w:tc>
          <w:tcPr>
            <w:tcW w:type="dxa" w:w="3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Action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Responder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Stabilisation or improvement on primary cognitive measure + functional maintenance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Continue protocol; plan 3-monthly maintenance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Partial Responder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Slower-than-expected decline OR improvement in one cognitive domain only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Adjust target; review task engagement; add modality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Non-Responder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Continued decline at expected rate in all domains after adequate trial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Follow FNON Non-Responder Pathway (Section 6)</w:t>
            </w:r>
          </w:p>
        </w:tc>
      </w:tr>
    </w:tbl>
    <w:p>
      <w:pPr>
        <w:spacing w:after="120" w:before="0" w:line="276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PATIENT CLASSIFICATION: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□ Responder  □ Partial Responder  □ Non-Responder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1"/>
        <w:spacing w:after="200" w:before="360"/>
      </w:pPr>
      <w:bookmarkStart w:name="5__Likely_Non_Responder_Profiles" w:id="15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5. Likely Non-Responder Profiles</w:t>
      </w:r>
      <w:bookmarkEnd w:id="16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Profile</w:t>
            </w:r>
          </w:p>
        </w:tc>
        <w:tc>
          <w:tcPr>
            <w:tcW w:type="dxa" w:w="34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Why Limited Response</w:t>
            </w:r>
          </w:p>
        </w:tc>
        <w:tc>
          <w:tcPr>
            <w:tcW w:type="dxa" w:w="34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Alternative Strategy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Moderate–severe Alzheimer's stage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Network degeneration beyond plasticity capacity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Shift to supportive/caregiver-focused protocol; CES only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Severely reduced task engagement/compliance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Activity-dependent plasticity requires active participation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Caregiver-assisted adapted tasks; consider discontinuation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Medication non-compliance or frequent changes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Unstable cholinergic tone confounds tDCS plasticity window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Stabilise medications; re-baseline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Significant BPSD (agitation, psychosis)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Behavioural symptoms interfere with tDCS session safety</w:t>
            </w:r>
          </w:p>
        </w:tc>
        <w:tc>
          <w:tcPr>
            <w:tcW w:type="dxa" w:w="3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Address BPSD first; psychiatric review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bookmarkStart w:name="6__SOZO_Non_Responder_Pathway__FNON_Level_5_" w:id="17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6. SOZO Non-Responder Pathway (FNON Level 5)</w:t>
      </w:r>
      <w:bookmarkEnd w:id="18"/>
    </w:p>
    <w:p>
      <w:pPr>
        <w:pBdr>
          <w:top w:val="single" w:color="7B2D8E" w:sz="2"/>
          <w:left w:val="single" w:color="7B2D8E" w:sz="2"/>
          <w:bottom w:val="single" w:color="7B2D8E" w:sz="2"/>
          <w:right w:val="single" w:color="7B2D8E" w:sz="2"/>
        </w:pBdr>
        <w:shd w:fill="F0E6F6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7B2D8E"/>
          <w:sz w:val="20"/>
          <w:szCs w:val="20"/>
        </w:rPr>
        <w:t xml:space="preserve">If no meaningful improvement after 8–10 sessions, follow FNON Level 5 adjustment pathway: Reassess phenotype → Revise network hypothesis → Modify montage/modality.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4400"/>
        <w:gridCol w:w="1960"/>
      </w:tblGrid>
      <w:tr>
        <w:tc>
          <w:tcPr>
            <w:tcW w:type="dxa" w:w="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2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4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Details</w:t>
            </w:r>
          </w:p>
        </w:tc>
        <w:tc>
          <w:tcPr>
            <w:tcW w:type="dxa" w:w="1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Done?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Confirm Fundamentals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Correct montage, impedance, session compliance, dose timing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Re-Phenotype (FNON Level 1)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Is it truly motor-dominant or executive-dominant? Recheck 6-Network scores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Revise Network Hypothesis (FNON Level 2)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Map revised phenotype to new network targets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Change Target (FNON Level 3)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Switch montage AND/OR switch modality based on revised hypothesis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Review Medication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>Review ON/OFF state variability; standardise cholinesterase inhibitor timing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Add Modality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Add TPS if tDCS alone; add taVNS if limbic involvement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Consider Discontinuation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If no response after 2 full blocks, document and discuss with patient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</w:tbl>
    <w:p>
      <w:pPr>
        <w:pBdr>
          <w:top w:val="single" w:color="CC0000" w:sz="2"/>
          <w:left w:val="single" w:color="CC0000" w:sz="2"/>
          <w:bottom w:val="single" w:color="CC0000" w:sz="2"/>
          <w:right w:val="single" w:color="CC0000" w:sz="2"/>
        </w:pBdr>
        <w:shd w:fill="FFD9D9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CC0000"/>
          <w:sz w:val="20"/>
          <w:szCs w:val="20"/>
        </w:rPr>
        <w:t>DO NOT escalate intensity beyond safety limits. Always follow SOZO FNON Protocol safety parameters.</w:t>
      </w:r>
    </w:p>
    <w:p>
      <w:r>
        <w:br w:type="page"/>
      </w:r>
    </w:p>
    <w:p>
      <w:pPr>
        <w:pStyle w:val="Heading1"/>
        <w:spacing w:after="200" w:before="360"/>
      </w:pPr>
      <w:bookmarkStart w:name="7__Levodopa_tDCS_Scheduling___Documentation" w:id="19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>7. ChEI/Memantine-tDCS Scheduling &amp; Documentation</w:t>
      </w:r>
      <w:bookmarkEnd w:id="20"/>
    </w:p>
    <w:p>
      <w:pPr>
        <w:spacing w:after="120" w:before="0" w:line="276"/>
        <w:jc w:val="left"/>
      </w:pPr>
      <w:r>
        <w:rPr>
          <w:rFonts w:ascii="Arial" w:cs="Arial" w:eastAsia="Arial" w:hAnsi="Arial"/>
          <w:b w:val="0"/>
          <w:bCs w:val="false"/>
          <w:i w:val="false"/>
          <w:iCs w:val="false"/>
          <w:color w:val="000000"/>
          <w:sz w:val="22"/>
          <w:szCs w:val="22"/>
        </w:rPr>
        <w:t>tDCS effects are state-dependent. Cholinergic tone from ChEIs modulates hippocampal and cortical plasticity windows relevant to memory-based tDCS protocols.</w:t>
      </w:r>
    </w:p>
    <w:p>
      <w:pPr>
        <w:pStyle w:val="Heading2"/>
        <w:spacing w:after="160" w:before="280"/>
      </w:pPr>
      <w:bookmarkStart w:name="7A__ON_State_vs_OFF_State_Comparison" w:id="21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>7A. Medicated vs Pre-Medication State Comparison</w:t>
      </w:r>
      <w:bookmarkEnd w:id="2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Factor</w:t>
            </w:r>
          </w:p>
        </w:tc>
        <w:tc>
          <w:tcPr>
            <w:tcW w:type="dxa" w:w="3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Stable ChEI State (Default SOZO)</w:t>
            </w:r>
          </w:p>
        </w:tc>
        <w:tc>
          <w:tcPr>
            <w:tcW w:type="dxa" w:w="3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Unstable/Titration Phase (Avoid)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Definition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during stable ChEI dose (≥3 months at therapeutic dose)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during ChEI initiation or dose titration period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Task Participation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Better cholinergic tone; more consistent memory task engagement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GI side effects, titration variability; reduced compliance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Plasticity Substrate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Cholinergic support for hippocampal LTP-like mechanisms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Unstable ACh levels; unpredictable plasticity substrate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Comparison Validity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Stable within-block comparisons; consistent cognitive state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High variability; cannot attribute change to tDCS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Evidence Support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Cholinergic-tDCS synergy best studied at stable doses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Avoid; document if unavoidable during titration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7B__SOZO_Scheduling_Rules" w:id="23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7B. SOZO Scheduling Rules</w:t>
      </w:r>
      <w:bookmarkEnd w:id="24"/>
    </w:p>
    <w:p>
      <w:pPr>
        <w:pBdr>
          <w:top w:val="single" w:color="CC0000" w:sz="2"/>
          <w:left w:val="single" w:color="CC0000" w:sz="2"/>
          <w:bottom w:val="single" w:color="CC0000" w:sz="2"/>
          <w:right w:val="single" w:color="CC0000" w:sz="2"/>
        </w:pBdr>
        <w:shd w:fill="FFD9D9" w:val="clear"/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color w:val="CC0000"/>
          <w:sz w:val="20"/>
          <w:szCs w:val="20"/>
        </w:rPr>
        <w:t>SOZO Standard Rule: Choose ONE time-of-day window for all assessments and keep it CONSISTENT. Time-of-day cognitive fluctuation in Alzheimer's/MCI is one of the most common sources of false classification.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Domain</w:t>
            </w:r>
          </w:p>
        </w:tc>
        <w:tc>
          <w:tcPr>
            <w:tcW w:type="dxa" w:w="63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Details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ChEI/Memantine Name &amp; Dose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Duration at Current Dose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___ months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Time of Daily Dose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___ AM / PM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Session Time of Day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Morning (preferred)  □ Afternoon  □ Evening — Time: ___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Sundowning Pattern?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 — Peak time: ___  □ No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Caregiver Present at Session?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  □ No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Session Start Time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Keep consistent: ___:___ AM/PM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7C__Levodopa___tDCS_Pairing_by_PD_Phenotype" w:id="25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>7C. ChEI/Memantine + tDCS Pairing by Cognitive Phenotype</w:t>
      </w:r>
      <w:bookmarkEnd w:id="26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2800"/>
        <w:gridCol w:w="2560"/>
      </w:tblGrid>
      <w:tr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Phenotype</w:t>
            </w:r>
          </w:p>
        </w:tc>
        <w:tc>
          <w:tcPr>
            <w:tcW w:type="dxa" w:w="22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tDCS Config</w:t>
            </w:r>
          </w:p>
        </w:tc>
        <w:tc>
          <w:tcPr>
            <w:tcW w:type="dxa" w:w="2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Concurrent Task</w:t>
            </w:r>
          </w:p>
        </w:tc>
        <w:tc>
          <w:tcPr>
            <w:tcW w:type="dxa" w:w="25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Outcome Measures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Amnestic MCI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Temporal tDCS (T3/T4) anodal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Word-list encoding + spaced retrieval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ADAS-Cog memory, RBANS memory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Non-amnestic MCI / Executive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L-DLPFC anodal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Cognitive training (Trail Making-type tasks)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MoCA, TMT-B, WAIS Digit Span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Mild AD (multi-domain)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DLPFC + temporal sequence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Caregiver-assisted memory tasks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MoCA, ADAS-Cog, ADCS-ADL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Behavioural/BPSD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DLPFC + taVNS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Structured behavioural activation</w:t>
            </w:r>
          </w:p>
        </w:tc>
        <w:tc>
          <w:tcPr>
            <w:tcW w:type="dxa" w:w="2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NPI, PHQ-9, ADCS-ADL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7D__Levodopa_tDCS_Documentation_Checklist" w:id="27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>7D. ChEI/Memantine-tDCS Documentation Checklist</w:t>
      </w:r>
      <w:bookmarkEnd w:id="2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2000"/>
        <w:gridCol w:w="1960"/>
      </w:tblGrid>
      <w:tr>
        <w:tc>
          <w:tcPr>
            <w:tcW w:type="dxa" w:w="54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Documentation Item</w:t>
            </w:r>
          </w:p>
        </w:tc>
        <w:tc>
          <w:tcPr>
            <w:tcW w:type="dxa" w:w="2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Completed</w:t>
            </w:r>
          </w:p>
        </w:tc>
        <w:tc>
          <w:tcPr>
            <w:tcW w:type="dxa" w:w="1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N/A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ChEI/Memantine name, dose, and duration at current dose recorded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Time of day of session (morning recommended) documented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Sundowning pattern and peak time noted for scheduling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Caregiver informant consistency across assessments documented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Baseline assessment cognitive state and time of day recorded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Follow-up assessment at same time of day with same informant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Medication changes during block documented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Session start time consistent across block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  <w:tr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Outcomes interpreted with time-of-day and informant context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 Yes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□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bookmarkStart w:name="8__SOZO_Responder_Signature_Data_Collection" w:id="29"/>
      <w:r>
        <w:rPr>
          <w:rFonts w:ascii="Arial" w:cs="Arial" w:eastAsia="Arial" w:hAnsi="Arial"/>
          <w:b/>
          <w:bCs/>
          <w:i w:val="false"/>
          <w:iCs w:val="false"/>
          <w:color w:val="1B3A5C"/>
          <w:sz w:val="28"/>
          <w:szCs w:val="28"/>
        </w:rPr>
        <w:t xml:space="preserve">8. SOZO Responder Signature Data Collection</w:t>
      </w:r>
      <w:bookmarkEnd w:id="30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800"/>
        <w:gridCol w:w="1960"/>
      </w:tblGrid>
      <w:tr>
        <w:tc>
          <w:tcPr>
            <w:tcW w:type="dxa" w:w="36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Data Point</w:t>
            </w:r>
          </w:p>
        </w:tc>
        <w:tc>
          <w:tcPr>
            <w:tcW w:type="dxa" w:w="3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Value / Detail</w:t>
            </w:r>
          </w:p>
        </w:tc>
        <w:tc>
          <w:tcPr>
            <w:tcW w:type="dxa" w:w="19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Recorded?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Phenotype label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H&amp;Y stage + disease duration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Stage: ___ Duration: ___ years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Montage + protocol ID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Network hypothesis (FNON Level 2)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Concurrent task type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Number of sessions completed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___ / ___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>Cholinesterase inhibitor timing protocol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Baseline PRS / outcome scores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Follow-up PRS / outcome scores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Response classification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 Responder □ Partial □ Non-Responder</w:t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Adverse events</w:t>
            </w:r>
          </w:p>
        </w:tc>
        <w:tc>
          <w:tcPr>
            <w:tcW w:type="dxa" w:w="3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□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pStyle w:val="Heading2"/>
        <w:spacing w:after="160" w:before="280"/>
      </w:pPr>
      <w:bookmarkStart w:name="Regulator_Safe_Language_Guide" w:id="31"/>
      <w:r>
        <w:rPr>
          <w:rFonts w:ascii="Arial" w:cs="Arial" w:eastAsia="Arial" w:hAnsi="Arial"/>
          <w:b/>
          <w:bCs/>
          <w:i w:val="false"/>
          <w:iCs w:val="false"/>
          <w:color w:val="2E75B6"/>
          <w:sz w:val="26"/>
          <w:szCs w:val="26"/>
        </w:rPr>
        <w:t xml:space="preserve">Regulator-Safe Language Guide</w:t>
      </w:r>
      <w:bookmarkEnd w:id="3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Appropriate to State</w:t>
            </w:r>
          </w:p>
        </w:tc>
        <w:tc>
          <w:tcPr>
            <w:tcW w:type="dxa" w:w="46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>AVOID Stating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is an adjunctive intervention alongside stable ChEI therapy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reverses or cures Alzheimer's disease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Goal is cognitive stabilisation or slowing of decline; improvement possible in MCI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restores lost memory or prevents progression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Evidence is promising for MCI/mild AD; effect sizes are moderate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 w:val="0"/>
                <w:i w:val="false"/>
                <w:iCs w:val="false"/>
                <w:sz w:val="20"/>
                <w:szCs w:val="20"/>
              </w:rPr>
              <w:t>tDCS is equivalent to cholinesterase inhibitors</w:t>
            </w:r>
          </w:p>
        </w:tc>
      </w:tr>
    </w:tbl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p>
      <w:pPr>
        <w:spacing w:after="12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Clinical Notes &amp; Rationale: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_______________________________________________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_______________________________________________</w:t>
      </w:r>
    </w:p>
    <w:p>
      <w:pPr>
        <w:spacing w:after="60" w:before="0" w:line="276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20"/>
        <w:gridCol w:w="2520"/>
        <w:gridCol w:w="2520"/>
      </w:tblGrid>
      <w:tr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25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25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Signature</w:t>
            </w:r>
          </w:p>
        </w:tc>
        <w:tc>
          <w:tcPr>
            <w:tcW w:type="dxa" w:w="252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1B3A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Date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>Doctor</w:t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20" w:before="0" w:line="276"/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 w:space="1"/>
      </w:pBdr>
      <w:tabs>
        <w:tab w:val="right" w:pos="9360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1B3A5C"/>
        <w:sz w:val="16"/>
        <w:szCs w:val="16"/>
      </w:rPr>
      <w:t xml:space="preserve">CONFIDENTIAL — SOZO Brain Center</w:t>
    </w:r>
    <w:r>
      <w:rPr>
        <w:rFonts w:ascii="Arial" w:cs="Arial" w:eastAsia="Arial" w:hAnsi="Arial"/>
        <w:b w:val="false"/>
        <w:bCs w:val="false"/>
        <w:i w:val="false"/>
        <w:iCs w:val="false"/>
        <w:color w:val="000000"/>
        <w:sz w:val="22"/>
        <w:szCs w:val="22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olor w:val="1B3A5C"/>
        <w:sz w:val="16"/>
        <w:szCs w:val="16"/>
      </w:rPr>
      <w:t xml:space="preserve">Page </w:t>
    </w:r>
    <w:r>
      <w:rPr>
        <w:rFonts w:ascii="Arial" w:cs="Arial" w:eastAsia="Arial" w:hAnsi="Arial"/>
        <w:color w:val="1B3A5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1"/>
      </w:pBdr>
    </w:pPr>
    <w:r>
      <w:rPr>
        <w:rFonts w:ascii="Arial" w:cs="Arial" w:eastAsia="Arial" w:hAnsi="Arial"/>
        <w:b w:val="false"/>
        <w:bCs w:val="false"/>
        <w:i/>
        <w:iCs/>
        <w:color w:val="2E75B6"/>
        <w:sz w:val="16"/>
        <w:szCs w:val="16"/>
      </w:rPr>
      <w:t xml:space="preserve">SOZO FNON — PD Responder Tracking &amp; Classification | Partners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1B3A5C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2026-03-13T14:16:32.270Z</dcterms:created>
  <dcterms:modified xsi:type="dcterms:W3CDTF">2026-03-13T14:16:32.270Z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