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1B3A5C"/>
          <w:sz w:val="32"/>
        </w:rPr>
        <w:t>SOZO BRAIN CENTER — PARTNERS TIER</w:t>
      </w:r>
    </w:p>
    <w:p>
      <w:pPr>
        <w:jc w:val="center"/>
      </w:pPr>
      <w:r>
        <w:rPr>
          <w:rFonts w:ascii="Calibri" w:hAnsi="Calibri"/>
          <w:b/>
          <w:i w:val="0"/>
          <w:color w:val="2E75B6"/>
          <w:sz w:val="28"/>
        </w:rPr>
        <w:t>Anxiety-Specific 6-Network Bedside Assessment</w:t>
      </w:r>
    </w:p>
    <w:p>
      <w:pPr>
        <w:shd w:val="clear" w:color="auto" w:fill="7B2D8E"/>
        <w:jc w:val="center"/>
      </w:pPr>
      <w:r>
        <w:rPr>
          <w:rFonts w:ascii="Calibri" w:hAnsi="Calibri"/>
          <w:b/>
          <w:i w:val="0"/>
          <w:color w:val="FFFFFF"/>
          <w:sz w:val="22"/>
        </w:rPr>
        <w:t>🟣 FNON + Evidence-Based Assessment — Includes Brain Network Analysis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Patient Name: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Birth: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Assessment: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Clinician: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Session Number: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Medication State: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ON  /  OFF  /  Wash-out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Primary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Secondary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Current Medications: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Referral Source: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Notes: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Scoring Key: </w:t>
      </w:r>
      <w:r>
        <w:rPr>
          <w:rFonts w:ascii="Calibri" w:hAnsi="Calibri"/>
          <w:b w:val="0"/>
          <w:i w:val="0"/>
          <w:color w:val="2E75B6"/>
          <w:sz w:val="22"/>
        </w:rPr>
        <w:t xml:space="preserve">HYPO (1)  |  </w:t>
      </w:r>
      <w:r>
        <w:rPr>
          <w:rFonts w:ascii="Calibri" w:hAnsi="Calibri"/>
          <w:b w:val="0"/>
          <w:i w:val="0"/>
          <w:color w:val="1B3A5C"/>
          <w:sz w:val="22"/>
        </w:rPr>
        <w:t xml:space="preserve">NORMAL (0)  |  </w:t>
      </w:r>
      <w:r>
        <w:rPr>
          <w:rFonts w:ascii="Calibri" w:hAnsi="Calibri"/>
          <w:b w:val="0"/>
          <w:i w:val="0"/>
          <w:color w:val="CC0000"/>
          <w:sz w:val="22"/>
        </w:rPr>
        <w:t>HYPER (2)</w:t>
      </w:r>
      <w:r>
        <w:rPr>
          <w:rFonts w:ascii="Calibri" w:hAnsi="Calibri"/>
          <w:b/>
          <w:i w:val="0"/>
          <w:color w:val="1B3A5C"/>
          <w:sz w:val="22"/>
        </w:rPr>
        <w:t xml:space="preserve">          Total: 44 Tests (Max Score: 88)</w:t>
      </w:r>
    </w:p>
    <w:p>
      <w:pPr>
        <w:shd w:val="clear" w:color="auto" w:fill="7B2D8E"/>
      </w:pPr>
      <w:r>
        <w:rPr>
          <w:rFonts w:ascii="Calibri" w:hAnsi="Calibri"/>
          <w:b/>
          <w:i w:val="0"/>
          <w:color w:val="FFFFFF"/>
          <w:sz w:val="20"/>
        </w:rPr>
        <w:t xml:space="preserve">🟣 Anxiety-Adapted Version: </w:t>
      </w:r>
      <w:r>
        <w:rPr>
          <w:rFonts w:ascii="Calibri" w:hAnsi="Calibri"/>
          <w:b w:val="0"/>
          <w:i w:val="0"/>
          <w:color w:val="FFFFFF"/>
          <w:sz w:val="20"/>
        </w:rPr>
        <w:t>Includes worry severity markers, interoceptive hypervigilance tests, and Anxiety phenotype markers</w:t>
      </w:r>
    </w:p>
    <w:p/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Default Mode Network (DMN)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Worry Frequency Probe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'How often do worrying thoughts occur in a typical day?' Rate 0–10. Ask: 'Can you stop them when you want?'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Occasional controllable worry; 0–3/10; able to redirect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Minimal worry (HYPO: emotional blunting or dissociation pattern)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Worry rated ≥8/10; uncontrollable; occurs &gt;6 hours/day; GAD hallmark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Autobiographical Future Simulation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patient to describe their life 1 year from now. Rate positive vs negative content and level of catastrophizing.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Balanced future projection; realistic optimism; some uncertainty tolerated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or absent future thinking; poor prospective simulation; depressive overlap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Exclusively catastrophic futures; 'what if' elaboration; multiple disaster scenarios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Self-Reference Memory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10 adjectives with 'Does this describe you?' frame. Recall after 2-min distractor. Note anxious vs calm descriptors recalled.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≥6/10 recalled; balanced positive-negative self-descriptors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&lt;4/10 recalled; poor self-schema engagement; emotional avoidance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Negative/threat self-descriptors preferentially recalled; positive self-views suppressed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Mind Wandering Probe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2-min reading passage with 4 random probes. Note task-unrelated thought content — specifically worry themes.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≤1/4 off-task; neutral or task-relevant mind-wandering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0/4 off-task — suppression or emotional blunting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3–4/4 off-task; worry content; future-oriented catastrophic themes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Prospective Memory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Tell patient to remind you of a specific word in 5 min. Note: does patient check the time repeatedly? Rate anxiety about forgetting.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Recalls within 5±1 min; no time-checking anxiety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Forgets entirely; poor future self-monitoring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Repeatedly checks time or asks if it's been 5 min yet; hypervigilant to future task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Narrative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'Tell me something about your plans for next week.' Rate coherence and anxiety content.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Balanced description; some flexibility; manageable uncertainty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response; poor planning; disinterested in future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Excessive catastrophic scenarios; unable to describe neutral plans; catastrophizing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Semantic Fluency — Future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Name things that could go wrong vs go right in a hypothetical trip. Count positive vs negative items generated.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Balanced generation; ≥4 positive and ≥4 negative items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generation; unable to generate either valence; emotional blunting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 negative items; ≤2 positive; strong threat generation bias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Anxiety Relevance: GAD is characterized by DMN HYPERACTIVITY with pathological worry — future-oriented negative self-referential processing. Unlike Depression's past-focus, Anxiety drives prospective DMN over-engagement: repetitive 'what if' scenarios and catastrophic future simulations.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Default Mode Network (DMN)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Central Executive Network (CEN/FPN)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Digit Span Backward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digit sequences; ask reverse recall. Start at 2 digits and increase. Score maximum span achieved.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span ≥5 digits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≤3; working memory overwhelmed by anxiety; cognitive interference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intact but performance fluctuates; anxiety disrupts under time pressure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Trail Making B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Alternating number-letter connections on paper. Record time and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&lt;90 sec; ≤2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Extremely slow; gives up; decision anxiety paralysis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but with multiple errors; impulsive choices; anxiety-driven rushing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Verbal Fluency FAS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Name words beginning with F in 60 sec. Note if patient generates anxiety/threat-related words preferentially.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≥12 words; &lt;3 repetitions; mixed content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&lt;7 words; poor retrieval; cognitive interference from worry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≥12 words but many are threat/worry-related (fears, failures, fight...)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Stroop Interference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Stroop variant: include anxiety-related words (danger, threat). Compare interference on neutral vs anxiety words.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Uniform response time across word types; ≤3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Stroop effect; flat processing; emotional blunting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Selectively slowed on anxiety-related words; emotional Stroop effect prominent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Serial 7 Subtraction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100-7 subtraction for 5 steps. Note accuracy and whether errors trigger distress or self-criticism.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5/5 correct; calm error acceptance if any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≤2/5; poor concentration; cognitive load from worry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4–5/5 correct but extreme distress on any error; perfectionism; self-criticism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Go/No-Go Task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20 letters at 1/sec; tap for all except X. Count commission and omission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commission; ≤2 omission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omission errors; poor sustained initiation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commission errors; impulsive responding; over-vigilant false alarms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Category Switching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Alternating fruits and vegetables for 60 sec. Note switching speed and intrusion errors.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≥10 correct alternations; ≤2 intrusions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&lt;5 alternations; rigid category maintenance; inflexibility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count but rushed, anxious pacing; perseverative corrections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Anxiety Relevance: CEN HYPOACTIVITY in GAD reflects executive resources hijacked by worry processes. DLPFC fails to adequately suppress amygdala-driven threat appraisals. Working memory is congested with anxious content, reducing cognitive flexibility and problem-solving capacity.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Central Executive Network (CEN/FPN)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Salience Network (SN)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Heartbeat Counting — Interoception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own heartbeats for 25 sec without touching body. Compare to measured pulse.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Accuracy &gt;0.75; appropriate body awareness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Accuracy &lt;0.50; poor interoception; body disconnection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Accuracy &gt;0.90 with extreme focus; hyperawareness; health anxiety; palpitation focus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Threat Appraisal — GAD Screen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Present 5 ambiguous scenarios (e.g., boss calls you in, friend doesn't reply). Rate threat 0–10.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Ambiguous scenarios rated 2–4; tolerates uncertainty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All scenarios rated ≤2; denial or minimization pattern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All scenarios rated ≥8; catastrophic interpretations; intolerance of uncertainty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Error Monitoring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passage with 2 embedded errors. Note spontaneous error detection and emotional response to errors found.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Catches ≥1 error calmly; mild satisfaction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Misses both errors; poor ACC self-monitoring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Catches errors but excessive distress; replays passage to find more; perfectionism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Sensory Switching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Alternate visual tracking (pen) and auditory counting (tones) tasks. Measure switching cost.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Switch delay &lt;2 sec; smooth transitions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switching &gt;5 sec; poor disengagement; inertia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Rapid switching but with anticipatory anxiety about next task; hypervigilant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Pain/Somatic Sensitivity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Apply light pressure to fingernail bed for 3 sec. Rate intensity 0–10. Ask about somatic tension (head, shoulders, stomach).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rating 3–6; minimal somatic complaints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rating ≤2; poor somatic awareness; body disconnection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rating ≥8; somatic amplification; reports tension in ≥3 body areas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Surprise/Orienting Response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Deliver unexpected auditory tone mid-task. Observe startle magnitude, reorientation time, and physiological signs.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Brief interruption; reorientation within 3 sec; calm recovery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Blunted startle; poor orienting; disengaged vigilance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Exaggerated startle; prolonged recovery &gt;10 sec; autonomic activation signs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Salience Rating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Show 6 emotional (3 threat-related, 3 positive) and 6 neutral images. Rate salience 0–10.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Balanced ratings; threat ≤6, positive ≥4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ratings; emotional blunting across all image types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Threat images rated ≥9; positive/neutral rated ≤3; strong threat salience bias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Anxiety Relevance: SN is the core dysfunction in GAD — HYPERACTIVITY of the salience detection system misidentifies neutral stimuli as threatening. ACC and anterior insula HYPER-engagement creates persistent false alarm signaling, interoceptive hypersensitivity, and autonomic arousal.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Salience Network (SN)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Sensorimotor Network (SMN)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Finger Tapping Rate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Index finger tapping for 10 sec each hand. Count taps. Note tremor, restlessness, or irregular rhythm.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≥50 taps/10 sec; regular rhythm; no tremor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&lt;35 taps; slow; reduced motor drive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count but with visible tremor; restless hand movements; motor tension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Grip Assessment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Firm squeeze of examiner's fingers bilaterally. Note strength and whether patient can release smoothly.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Firm symmetric grip; smooth release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Weak bilateral grip; disengaged muscle tone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Intense grip; difficulty releasing; white-knuckle tension; gripping response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Muscle Tension Survey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Palpate/observe tension in trapezius, jaw (TMJ), and forearms. Rate visible tension 0–10 per region.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Minimal tension ≤3 in all regions; relaxed posture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Flat; no tension; hypotonic; dissociated body awareness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Tension ≥7 in ≥2 regions; teeth clenching; rigid posture; somatic hyperactivation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Tandem Gait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Heel-to-toe walk for 10 steps on a line. Count steps off line and observe postural tension.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 step off line; relaxed gait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Multiple step failures; poor proprioceptive engagement; slow pace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Steps performed rigidly; tense upright posture; hypervigilant gait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Romberg Test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Feet together, eyes closed for 30 sec. Observe sway and note visible tension/fidgeting.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Minimal sway; stable 30 sec; relaxed posture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Excessive sway; poor proprioception; motor disengagement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Stable but with visible tension; fidgeting; unable to relax into stance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Rapid Alternating Movements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Pronate/supinate forearm for 10 sec. Observe rhythm, speed, and tremor.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Regular rhythm; ≥14 cycles; no tremor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reduced amplitude; poor motor engagement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speed but tremulous; irregular rhythm; tension-induced dysrhythmia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Writing Sample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Write name and address; draw 10 circles. Assess pressure, size, and tremor.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Legible; consistent; moderate pressure; smooth circles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Reduced pressure; micrographia; flat motor engagement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Heavy pressure; irregular size; visible tremor; rushed scrawl from anxiety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Reaction Time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Hand lift from table when pen drops. 3 trials averaged.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&lt;250 ms; consistent across trials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&gt;400 ms; slow motor initiation; poor readiness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&lt;150 ms average; anticipatory lifts; motor hypervigilance; false starts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Anxiety Relevance: SMN shows HYPER-arousal in GAD — muscle tension, physiological hyperactivation, tremor, and restlessness reflect elevated sympathetic tone. Somatic symptoms (tension headache, GI symptoms) arise from chronic SMN/autonomic HYPER-engagement.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Sensorimotor Network (SMN) Total: _____ / 16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Limbic / Emotional Network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Face Recognition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Identify 6 emotions (joy, sadness, fear, anger, disgust, surprise) from facial photos. Score /6.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≥5/6 correct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&lt;4/6; poor emotional recognition; blunted affect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Misidentifies neutral as fearful/angry; hypersensitivity to threatening expressions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Fear Generalization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Present 3 mildly threatening scenarios then 3 neutral scenarios. Rate anxiety 0–10 for each.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Anxiety 5–7 for threatening, ≤3 for neutral; appropriate differentiation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anxiety across all scenarios; blunted fear response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anxiety (≥7) for neutral scenarios; fear generalization; threat overgeneralization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Memory — Threat Bias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10 words (5 threat-related: danger, attack; 5 positive/neutral). Free recall after 5-min distractor.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Balanced recall or slight positive advantage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recall; poor emotional memory enhancement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Threat words preferentially recalled; positive words suppressed; anxiety memory bias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 Labeling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Describe 3 emotional scenarios. Ask: 'What emotion would you feel?' Note: does patient label anxiety in non-threatening scenarios?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Accurate, differentiated emotional labels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'Nothing' or unable to identify emotions; alexithymia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Labels anxiety/fear even in positive scenarios; over-activation of fear response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Reward Sensitivity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interest in 5 pleasant activities 0–10. Note whether anxiety about activities (not anhedonia) drives avoidance.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interest ≥6/10; approach motivation maintained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≤3; anhedonia (screen for Depression overlap)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≥7 but with anxious over-planning; avoidance of spontaneous pleasure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Social Comfort Rating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comfort in 5 social scenarios. Note whether anxiety (vs depression) is the reported barrier to social engagement.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Comfort ≥5/10 for ≥4 scenarios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Comfort ≤3 due to depression/withdrawal (not anxiety)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Comfort ≤3 for ≥4 scenarios; social anxiety; fear of negative evaluation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Affective Flexibility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Sad then happy memory recall. Rate mood before/after. Note: does anxious anticipation interfere with emotional switching?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Mood shift ≥3 points; returns to baseline within 3 min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mood; no emotional responsivity; anhedonic rigidity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Unable to access positive memory; anxiety about 'letting guard down'; hypervigilant affect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Anxiety Relevance: Amygdala HYPERACTIVITY drives the fear-based core of GAD. Hyperactive threat detection with impaired prefrontal fear regulation results in chronically elevated emotional reactivity, fear generalization, and avoidance behavior.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Limbic / Emotional Network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Attention Networks (DAN/VAN)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Sustained Attention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backward from 50 aloud for 60 sec. Note consistency and whether anxiety disrupts sustained performance.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errors; consistent pace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Frequent pauses; poor sustained engagement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Anxious rushing; accelerating pace; anxious self-monitoring of performance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Attentional Bias — Threat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 a 20-item letter list, circle all A's. Include 5 threat-related words in context. Note if threat words cause attentional capture.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Uniform attention; ≤2 errors; no content-specific slowing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overall completion; poor attentional drive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 slowing near threat words; attentional capture; anxiety-driven distractibility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Divided Attention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backward by 2s while naming pointed objects. Dual-task performance assessment.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Maintains both tasks; ≤2 errors each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Abandons one task; poor resource sharing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Anxious performance; monitors own performance; self-interrupts to check accuracy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Visual Search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Find star target among 20 distractors. Time and accuracy.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&lt;15 sec; systematic search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&gt;45 sec; unsystematic; gives up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but hypervigilant; finds target quickly but continues checking for more threats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Alerting Response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Examiner says 'ready' before stimulus. Assess preparatory state and arousal level.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Appropriate alerting; focused; controlled readiness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Blunted alerting; disengaged; poor preparatory arousal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Hyper-alerting; over-aroused; exaggerated anticipatory response; vigilant scanning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Spatial Orienting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Arrow cue (valid/invalid) before peripheral target. Measure orienting benefit and disengagement speed.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Orienting benefit ≥100 ms; smooth disengagement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Absent orienting benefit; poor spatial attention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Attentional lock; difficulty disengaging from cued location; hypervigilant orienting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Response Inhibition Cancel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Cancel all circles on mixed-shape sheet. Speed and accuracy.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&lt;60 sec; ≤2 errors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&gt;120 sec; omissions; poor inhibitory drive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with false alarms; impulsive cancelling; attentional hyperactivation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Attentional Fatigue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cancellation 5 min; compare first vs last 2.5 min hit rate.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Performance drop &lt;10%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&gt;30% decline; rapid fatigue; poor sustained drive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decline but accelerating errors; hypervigilant pace maintained at cost of accuracy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Anxiety Relevance: Attention Networks show HYPER-vigilance (DAN/VAN HYPER) toward threat-related stimuli alongside reduced top-down attentional control. Patients cannot disengage from threat cues (attentional lock), while divided and sustained attention are impaired by worry.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Attention Networks (DAN/VAN) Total: _____ / 16</w:t>
      </w:r>
    </w:p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Network Summary Profile</w:t>
      </w:r>
    </w:p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Map network scores to phenotype for FNON-based montage and protocol selection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Max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Raw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% of 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Dysfunction Pattern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Mode Network (DMN)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Central Executive Network (CEN/FPN)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Salience Network (SN)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Sensorimotor Network (SMN)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Limbic / Emotional Network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 Networks (DAN/VAN)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GRAND TOTAL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88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Dominant Network Dysfunction: </w:t>
      </w:r>
      <w:r>
        <w:rPr>
          <w:rFonts w:ascii="Calibri" w:hAnsi="Calibri"/>
          <w:b w:val="0"/>
          <w:i w:val="0"/>
          <w:sz w:val="22"/>
        </w:rPr>
        <w:t>_______________________________   Score: _____ / _____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Secondary Network: </w:t>
      </w:r>
      <w:r>
        <w:rPr>
          <w:rFonts w:ascii="Calibri" w:hAnsi="Calibri"/>
          <w:b w:val="0"/>
          <w:i w:val="0"/>
          <w:sz w:val="22"/>
        </w:rPr>
        <w:t>_______________________________   Tertiary: _______________________________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Phenotype Assignment</w:t>
      </w:r>
    </w:p>
    <w:p>
      <w:r>
        <w:rPr>
          <w:rFonts w:ascii="Calibri" w:hAnsi="Calibri"/>
          <w:b w:val="0"/>
          <w:i w:val="0"/>
          <w:sz w:val="22"/>
        </w:rPr>
        <w:t>Anxiety phenotypes: (1) WORRY-DOMINANT — DMN HYPER + CEN HYPO; (2) SOMATIC — SN+SMN HYPER dominant; (3) FEAR-AVOIDANCE — Limbic HYPER + attention bias; (4) HYPERVIGILANCE — Attention HYPER + SN HYPER. Map highest-scoring network to primary protocol target.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Assigned Phenotype: </w:t>
      </w:r>
      <w:r>
        <w:rPr>
          <w:rFonts w:ascii="Calibri" w:hAnsi="Calibri"/>
          <w:b w:val="0"/>
          <w:i w:val="0"/>
          <w:sz w:val="22"/>
        </w:rPr>
        <w:t>________________________________________</w:t>
      </w:r>
    </w:p>
    <w:p/>
    <w:p>
      <w:r>
        <w:rPr>
          <w:rFonts w:ascii="Calibri" w:hAnsi="Calibri"/>
          <w:b/>
          <w:i w:val="0"/>
          <w:color w:val="7B2D8E"/>
          <w:sz w:val="22"/>
        </w:rPr>
        <w:t xml:space="preserve">FNON Strategy: </w:t>
      </w:r>
      <w:r>
        <w:rPr>
          <w:rFonts w:ascii="Calibri" w:hAnsi="Calibri"/>
          <w:b w:val="0"/>
          <w:i w:val="0"/>
          <w:sz w:val="22"/>
        </w:rPr>
        <w:t>Primary: Inhibit SN hyperactivity (cathodal/low-frequency over ACC/insula, or right DLPFC). Facilitate CEN (anodal left DLPFC) to enhance prefrontal regulation of amygdala. Secondary: Normalize Limbic reactivity via DLPFC upregulation.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Medication &amp; Clinical Notes</w:t>
      </w:r>
    </w:p>
    <w:p>
      <w:pPr>
        <w:shd w:val="clear" w:color="auto" w:fill="CC0000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⚠ CRITICAL: </w:t>
      </w:r>
      <w:r>
        <w:rPr>
          <w:rFonts w:ascii="Calibri" w:hAnsi="Calibri"/>
          <w:b w:val="0"/>
          <w:i w:val="0"/>
          <w:color w:val="FFFFFF"/>
          <w:sz w:val="20"/>
        </w:rPr>
        <w:t>CRITICAL: Record medication state at each assessment. Results may differ significantly ON vs OFF medication.</w:t>
      </w:r>
    </w:p>
    <w:p>
      <w:r>
        <w:rPr>
          <w:rFonts w:ascii="Calibri" w:hAnsi="Calibri"/>
          <w:b/>
          <w:i w:val="0"/>
          <w:color w:val="1B3A5C"/>
          <w:sz w:val="22"/>
        </w:rPr>
        <w:t xml:space="preserve">Medication State at Assessment: </w:t>
      </w:r>
      <w:r>
        <w:rPr>
          <w:rFonts w:ascii="Calibri" w:hAnsi="Calibri"/>
          <w:b w:val="0"/>
          <w:i w:val="0"/>
          <w:sz w:val="22"/>
        </w:rPr>
        <w:t>□ ON Medication    □ OFF Medication    □ Medication Wash-out    □ Unmedicated</w:t>
      </w:r>
    </w:p>
    <w:p/>
    <w:p>
      <w:r>
        <w:rPr>
          <w:rFonts w:ascii="Calibri" w:hAnsi="Calibri"/>
          <w:b/>
          <w:i w:val="0"/>
          <w:color w:val="1B3A5C"/>
          <w:sz w:val="20"/>
        </w:rPr>
        <w:t xml:space="preserve">Medication Name/Dose/Timing: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Time Since Last Dose: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Clinical Observations: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Network Interpretation Notes: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Next Assessment Date: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