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GENERALIZED ANXIETY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Generalized Anxiety Disorder (GAD).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Generalized Anxiety Disorder (GAD)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GAD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GAD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GAD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prefrontal anxiety modulation</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vagal parasympathetic regulation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Cleared (FDA 510k) — anxiety indication (primary modality)</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Generalized Anxiety Disorder is INVESTIGATIONAL at SOZO Brain Center. It is not CE-marked or FDA-approved for GAD.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GAD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Generalized Anxiety Disorder (GAD).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GAD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GAD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GAD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prefrontal regulation of anxiety and worry circuits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Primary adjunctive — parasympathetic vagal regulation for anxiety reduction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anxiety — first-line SOZO modality for GAD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GAD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Worry frequency (how often uncontrollable worry occurs)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Worry controllability (ability to stop or redirect worry)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Restlessness / feeling on edge</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Muscle tension (physical tension or somatic tension)</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Irritability</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difficulty</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(anxiety-driven exhaustion)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Panic / acute anxiety episodes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behaviours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anxiety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GI or cardiac somatic symptoms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Catastrophising / worst-case thinking</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impairment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Hypervigilance / scanning for threats</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Cognitive-Worry, Somatic-Tension, Mixed, Panic-Prone, Social, Insomnia-Linked, Health Anxiety, Phobic, or Autonomic.</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GAD: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Cognitive-Worry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hyperactivation (rumination loop) + CEN hypofunction (poor worry termination), anterior cingulate dysregulation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Somatic-Tension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(interoceptive amplification) + SMN tension coupling; prominent body-focused anxiety</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Mixed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 SN co-hyperactivation; combined cognitive worry and somatic tension profile</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Panic-Prone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(acute threat amplification) + LIMBIC fear circuit hypersensitivity; episodic surge pattern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social threat detection over-sensitivity + LIMBIC shame/fear coupling; avoidance network activation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Insomnia-Linked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nocturnal hyperarousal + LIMBIC night-time amplification; anxiety driving sleep disruption cycle</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Health Anxiety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interoceptive hyperactivation + DMN catastrophising + CEN poor threat appraisal regulation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SN-autonomic network dysregulation; prominent cardiovascular/GI symptoms; vagal tone reduction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(GAD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anxiolytic / SSRI medication (name, dose, timing of last dose, adherence, current anxiety baseline rating)</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(anxiolytic or SSRI adherence, timing of last dose, current session anxiety rating)</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Worry / cognitive control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defusion exercises, worry postponement protocol, structured problem-solving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DLPFC inhibition (F4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Threat bias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bias modification (ABM) training, threat reappraisal exercises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cathode / Fz (frontal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4-7-8 breathing, diaphragmatic breathing training, heart rate variability biofeedback</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primary (cymba conchae)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Vagal activation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protocol (5 breaths/min), progressive muscle relaxation, guided body scan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Arousal and somatic tension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Body scan, somatic relaxation tasks, anxiety psychoeducation review</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Worry / Cognitive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GAD-7 or equivalent (≥50%) + PRS worry items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 / Autonomic</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somatic anxiety symptoms (PRS) and improved heart rate variability or relaxation capacity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sleep onset latency and quality (PRS secondary items + sleep diary)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Avoidance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social and occupational participation, reduced avoidance behaviours (PRS + patient report)</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Anxiety symptoms fluctuate significantly with acute stressors. Standardise assessment conditions between baseline and follow-up — avoid assessment immediately following identified stressor events. Document concurrent psychotherapy, lifestyle changes, and significant life events when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Generalized Anxiety Disorder (ICD-10 F41.1 or DSM-5 criteria)</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anxiety (GAD-7 ≥10 or equivalent; functionally impairing)</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anxiety outcome measures (GAD-7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panic disorder with agoraphobia limiting clinic attendance</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Bipolar disorder (requires mood stabiliser optimisation first)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medical comorbidity driving anxiety (requires primary medical management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GAD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Cognitive-Worry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Somatic-Tension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primary + tDCS Fpz/F3 cathode (frontal inhibition)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Mixed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Panic-Prone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primary (high priority) + tDCS F3 anode / F4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right TP cathode + TPS frontal + taVNS + CES; pair with social exposure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Insomnia-Linked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(pre-sleep primary) + taVNS (evening) + tDCS Fpz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Health Anxiety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primary + CES; pair with interoceptive exposure exercises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primary (daily, high dose) + CES primary + tDCS Fpz/F3 cathode + TPS frontal supportive</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