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AUTISM SPECTRUM DISORDER (ASD)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ASD Relevance: </w:t>
      </w:r>
      <w:r>
        <w:rPr>
          <w:sz w:val="20"/>
        </w:rPr>
        <w:t>Atypical social mentalizing. Theory of mind, mentalizing, and social cognition — core DMN functions — are fundamentally different in ASD. mPFC-PCC connectivity is atypical, impairing self-other distinction and social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self-referential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1=Absent/monotone, 2=Excessive/scripted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Theory of mind (false belief estimate)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(restricted interests)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2=Fixed on restricted interest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Self-other distinction in conversation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 to perspective-take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ASD traits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0=Good insight, 1=Limited,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/ planning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1=Rigid/routine-bound, 2=Cannot plan flexibly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Social narrative coherence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1=Tangential, 2=Incoherent/monologue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ASD Relevance: </w:t>
      </w:r>
      <w:r>
        <w:rPr>
          <w:sz w:val="20"/>
        </w:rPr>
        <w:t>Variable. Executive dysfunction is present in many individuals with ASD. Cognitive rigidity (insistence on sameness) reflects CEN inflexibility. Working memory may be preserved for rote material but impaired for social/contextual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mental calculation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 / cognitive flexibility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1=Perseverative/rigid,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ASD Relevance: </w:t>
      </w:r>
      <w:r>
        <w:rPr>
          <w:sz w:val="20"/>
        </w:rPr>
        <w:t>Atypical social salience. Social stimuli are not automatically detected as salient. Anterior insula differences produce atypical interoceptive processing. Sensory filtering differences reflect altered SN gating of sensory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1=Blunted, 2=Exaggerated/prolonged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Sensory sensitivity (pain/touch)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1=Hypo, 2=Hyper/allodynia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 (bodily awareness)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1=Absent/alexithymia, 2=Distorted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Social emotional reactivity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1=Flat/alexithymic, 2=Overwhelmed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(restricted interests)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switch off interest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response to social stimuli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2=Hyper/shutdown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ASD Relevance: </w:t>
      </w:r>
      <w:r>
        <w:rPr>
          <w:sz w:val="20"/>
        </w:rPr>
        <w:t>Atypical motor. Motor stereotypies, coordination difficulties, motor planning difficulties (developmental coordination disorder overlap), and unusual gait patterns reflect atypical SMN organisation and cortico-cerebellar connectivity.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Motor stereotypies (stimming)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0=Absent, 1=Mild/infrequent, 2=Constant/disruptive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Coordination (finger-to-nose)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impairment, 2=Dyspraxia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Fine motor (tapping/writing)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Motor planning (novel sequences)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2=Severely impaired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Postural control / balance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1=Mildly impaired, 2=Significantly impaired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Gait pattern observation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1=Unusual pattern, 2=Significantly atypical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Motor imitation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1=Delayed/impaired, 2=Cannot imitate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Body awareness (proprioception)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2=Seeking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ASD Relevance: </w:t>
      </w:r>
      <w:r>
        <w:rPr>
          <w:sz w:val="20"/>
        </w:rPr>
        <w:t>Atypical emotional processing. Amygdala hyperreactivity to social stimuli may drive social anxiety. Interoceptive differences produce alexithymia. Sensory sensitivities reflect atypical limbic-sensory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(flat vs overwhelmed)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1=Flat/alexithymic, 2=Overwhelmed/meltdown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for social interaction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2=Avoidant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 (interests vs social)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0=Balanced, 1=Restricted interest only, 2=Social completely 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 to routine change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1=Distress, 2=Meltdown/shutdown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2=Meltdown/shutdown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ASD Relevance: </w:t>
      </w:r>
      <w:r>
        <w:rPr>
          <w:sz w:val="20"/>
        </w:rPr>
        <w:t>Atypical profile. Hyper-focus on restricted interests contrasts with impaired shifting to other stimuli. Over-selective attention to detail (local processing bias) reflects atypical DAN/VAN organisation in ASD.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(preferred topic)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1=Normal, 2=Hyperfocused/cannot stop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Visual search (local vs global)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0=Balanced, 1=Local bias, 2=Cannot globalise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 (filtering noise)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2=Hypersensitive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to social stimuli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Disengagement from restricted interest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variability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1=Variable, 2=Extreme over/under-arousal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ASD-Specific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Anodal mPFC/temporal tDCS for social mentalizing support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for cognitive flexibility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sensory sensitivity normalisation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SMA tDCS for stereotypy reduction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anxiety/regulation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 tDCS for attention flexibility / TPS FT5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Social communication dominant  ☐ Restricted/repetitive dominant  ☐ Language delay  ☐ Sensory processing  ☐ Executive dysfunction  ☐ ADHD comorbidity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