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ASD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ASD Pharmacotherapy-tDCS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Social-Communication  □ Repetitive Behaviour  □ Sensory  □ ADHD-comorbid  □ Anxiety-comorbid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Social Communication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Improvement on SRS-2 social awareness/communication or CGI-I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Repetitive Behaviours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on RBS-R total score or specific subscale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Attention/Executive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Improvement in BRIEF-2 or cognitive tasks (particularly ADHD-comorbid)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Function/Adaptive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adaptive functioning on Vineland-3 or caregiver daily report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routine disruption effects on behaviour and informant reporting variance across settings.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Social-Communication (DLPFC)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Social processing deficit; superior temporal/PFC network underactivation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social cognition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 (pilot)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Repetitive Behaviour (SMA cathodal)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Elevated repetitive/restrictive behaviours; SMA-striatal hyperactivation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SMA cathodal tDCS + habit flexibility training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Sensory-dominant (CES+DLPFC)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Sensory overresponsivity; interoceptive dysregulation; sensory-seeking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+ DLPFC tDCS + sensory-based tasks (adapted)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ADHD-comorbid (DLPFC bilateral)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ASD + ADHD; combined CEN and attention network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Bilateral DLPFC + stimulant-timed sessions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Anxiety-comorbid (DLPFC+CES)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ASD + high anxiety; amygdala-PFC fear circuit overactivation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+ CES + relaxation-based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Language/Communication (L temporal)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Expressive language deficit; Broca's area underactivation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 temporal/IFC tDCS + SLP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Verbal/cooperative level sufficient for task engagement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Activity-dependent plasticity requires active task participation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ASD medication at stable dose ≥4 weeks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dopaminergic/serotonergic tone for consistent neural state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Consistent routine maintained across assessment days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Routine disruption confounds ASD symptom expression independent of tDCS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social-affective and CEN mapping guides DLPFC/temporal targeting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for social/executive phenotype; SMA cathodal for repetitive behaviours; temporal for language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Environment control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Consistent sensory environment across all sessions; same room, same therapist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Informant consistency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Use same primary informant (parent/caregiver) for all outcome ratings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social-affective underactivation + CEN disruption guides targeting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Environmental sensory load differences between baseline and follow-up, routine disruption, or inconsistent informant (parent vs teacher vs self-report) can create false responders or non-responders. Always assess in the same environment, same time of day, with the same primary informant.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Meaningful improvement on primary ASD measure + adaptive functioning gain by consistent informant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maintenance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Improvement in one domain (e.g., attention) but limited social/repetitive behaviour change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Re-phenotype; adjust target; ensure informant/environment consistency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 meaningful change in any domain after adequate trial with consistent methodology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 sensory intolerance to electrodes/tDCS sensation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Cannot complete session protocol; safety/distress concern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Desensitisation protocol; consider CES only; discuss with family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Significant routine disruption during treatment block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Environmental confound; ASD symptoms fluctuate with routine changes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Stabilise routine; defer assessment until routine re-established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non-compliance or ongoing titration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Unstable pharmacological state confounds tDCS neural effects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Stabilise medications; re-baseline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Level 3 ASD with minimal verbal communication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engagement insufficient for activity-dependent plasticity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Adapted caregiver-assisted protocol; lower expectations for outcomes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ASD pharmacotherapy agent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ASD Pharmacotherapy-tDCS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Risperidone modulates dopaminergic/serotonergic tone; SSRIs affect repetitive behaviour circuits; stimulants modulate PFC attention networks relevant to tDCS.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Medicated vs Unmedicated/Titration State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Stable Medication State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Titration / Medication-Free State (Document)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stable ASD medication dose (≥4 weeks at therapeutic dose)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medication initiation, titration, or washout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Behavioural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More consistent behavioural baseline for within-block comparison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 more variable; harder to attribute change to tDCS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Participation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attention and compliance with familiar stable medication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Titration side effects may reduce session tolerance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Informant Reporting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Caregiver reports more consistent at stable medication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Caregiver reporting confounded by medication change expectations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medication state required for consistent tDCS outcome interpretation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Document carefully; avoid changing medication mid-block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Use the SAME informant, same environment, and same medication state for all assessments in a block. Multi-informant variance and environmental inconsistency are the most common sources of false classification in ASD.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ASD Medication(s) Name &amp;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Duration at Current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Primary Informant for Ratings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Parent/Caregiver  □ Teacher  □ Self  — Name: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Environment Consistency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Same room  □ Different — Note: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Routine Disruption Before Session?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None  □ Mild  □ Significant — Note: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Chosen State for Block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Stable medication (default)  □ Titration (document rationale)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Keep consistent: ___:___ AM/PM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ASD Pharmacotherapy + tDCS Pairing by ASD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Social-Communication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1–2mA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Social cognition tasks (emotion recognition)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SRS-2, ADOS-2 social, CGI-I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Repetitive Behaviour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SMA cathodal tDCS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Habit flexibility / schedule disruption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RBS-R, CYBOCS-ASD, CGI-I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ADHD-comorbid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Bilateral DLPFC tDCS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Sustained attention / WM tasks during tDCS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CAARS, BRIEF-2, Conners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Anxiety-comorbid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+ 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Relaxation + sensory regulation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SCARED, GAD-7 (adapted), BRIEF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ASD Pharmacotherapy-tDCS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ASD medication name, dose, and duration at current dose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Primary informant identified and consistent across all assessments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environment controlled for sensory load consistency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Routine disruption before session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medication state and informant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in same medication state, same informant, same environment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tolerance and sensory response noted each session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interpreted with informant and environment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Asd pharmacotherapy agent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an adjunctive intervention; goals are improving specific functional domains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treats or cures autism spectrum disorder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Effects are targeted at specific symptom clusters (attention, repetitive behaviour) rather than core ASD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changes the fundamental nature of autism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preliminary; session tolerance varies; outcomes are individual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equivalent to ABA or standard ASD interventions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