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Depression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SSRI/SNRI-tDCS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Melancholic  □ Anxious/Somatic  □ Atypical  □ Cognitive  □ Psychomotor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≥50% reduction in PHQ-9 or HDRS; clinically meaningful mood 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in executive function, memory, or processing speed 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Somatic/Anxiety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Reduction in somatic symptoms, sleep improvement, anxiety reduction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daily functioning (work, social, self-care) by patient/clinician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diurnal mood variation and antidepressant wash-in effects.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(DLPFC)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dysfunction, cognitive slowing, low motivation; DMN-CEN imbalance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tDCS + cognitive activation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Strong (meta-analysis support)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Melancholic (DLPFC+taVNS)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Anhedonia, psychomotor retardation, early waking; mesolimbic hypoactivity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tDCS + taVNS + behavioural activation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(RCT)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Anxious/Somatic (DLPFC/PFC)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Anxiety-depression overlap; hyperarousal; insula overactivation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tDCS + CES + relaxation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Atypical (taVNS-led)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 reactivity, hypersomnia, leaden paralysis; vagal tone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taVNS + DLPFC tDCS adjunct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Psychomotor (M1/DLPFC)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psychomotor retardation; motor-affective circuit involvement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Bilateral DLPFC + TPS FT4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Rumination/OCD-overlap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Persistent rumination, negative bias; anterior cingulate hyperactivity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R-DLPFC cathodal + L-DLPFC anodal + TPS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rather than severe baseline depression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Sufficient prefrontal reserve for plasticity-based gains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dysfunction as a core symptom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DLPFC-targeted tDCS most effective when cognition is impaired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SSRI/SNRI at stable dose ≥4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Serotonergic tone required to optimise tDCS LTP-like effects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FNON-guided targeting improves specificity of protocol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most evidence-based; bilateral montage for severe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Dose and repetition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10–20 sessions required; single-session effects not clinically meaningful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Concurrent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activation or behavioural tasks during tDCS enhance outcomes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Level 2 hypothesis (CEN hypoactivation vs DMN hyperactivation) guides montage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If baseline is assessed during diurnal low-mood period and follow-up during a high-mood period (or vice versa), or if medication has not reached steady-state, you can create a false responder or non-responder. Always document time of day, sleep quality, and medication phase at each assessment.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≥50% PHQ-9 reduction + clinically meaningful functional improvement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plan maintenance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25–49% PHQ-9 reduction OR improvement in one domain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Re-phenotype; adjust task pairing; consider taVNS addition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&lt; 25% improvement in any domain after adequate trial (10+ sessions)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Severe/treatment-resistant depression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Prefrontal downregulation beyond neuromodulation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Consider TMS referral; TPS FT4; adjunct 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Active suicidality / psychiatric crisis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Safety priority overrides neuromodulation scheduling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Defer NIBS; prioritise psychiatric stabilisation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non-compliance or frequent changes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Confounded neural state; cannot attribute change to tDCS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Stabilise medications first; re-baseline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Psychosis or bipolar mixed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Different circuit pathology; DLPFC protocol not appropriate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Consider discontinuation; specialist review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antidepressant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SSRI/SNRI-tDCS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Serotonergic tone modulates prefrontal LTP-like plasticity mechanisms.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Medicated vs Wash-in Phase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Steady-State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Wash-in Phase (Avoid)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during stable SSRI/SNRI period (≥4 weeks at therapeutic dose)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during first 1–4 weeks of new antidepressant or dose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 Participation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engagement; stable mood state for concurrent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 volatility; reduced task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Plasticity Substrate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Serotonergic tone supports LTP-like mechanisms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Unstable receptor occupancy; unpredictable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Valid within-block comparisons; stable baseline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High variability; cannot attribute change to tDCS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Supports task-paired neurorehabilitation approach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Avoid; increases confounding; document if unavoidable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Choose ONE medication phase for a block and keep it CONSISTENT. Assessing patients during SSRI wash-in vs steady-state is one of the most common sources of false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SSRI/SNRI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Duration at Current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of Daily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AM /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Dose Taken Before Session?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  □ No — Time of last dose: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Chosen Phase for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Steady-state (default)  □ Wash-in (document rationale)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Session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hours post-dose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SSRI/SNRI + tDCS Pairing by Depression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(CEN deficit)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2mA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cognitive training during tDCS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PHQ-9, HDRS, MoCA, Trail 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Melancholic/Anhedonia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taVNS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Behavioural activation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PHQ-9, SHAPS, GAD-7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Anxious/Somatic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Relaxation + mindfulness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GAD-7, PHQ-9, DASS-21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Psychomotor/Retarded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Bilateral DLPFC + TPS FT4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Motor-activation with verbal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HDRS, MADRS, MoCA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SSRI/SNRI-tDCS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SSRI/SNRI name, dose, and duration at current dose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timing relative to daily dose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phase (steady-state vs wash-in) recorded at each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assessment medication phase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Follow-up assessment in same medication 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Any medication changes during block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of day of assessment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quality night before assessment noted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medication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Antidepressant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intervention alongside stable antidepressant therapy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replaces or reduces the need for antidepressants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Effects may be enhanced when combined with concurrent cognitive activation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cures or eliminates depressive episodes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remains promising; effect sizes are moderate; response varies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equivalent to ECT or proven antidepressants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