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Insomnia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Sleep Medication-tDCS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Sleep-onset  □ Sleep-maintenance  □ Early-waking  □ Hyperarousal  □ Mixed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Onset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SOL by ≥30 min on 7-day diary average or ISI sleep onset item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Maintenance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WASO by ≥30 min on 7-day diary average or ISI maintenance item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Quality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≥6 point reduction on ISI total score (MCID) or PSQI meaningful improvement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Daytime Function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Improved daytime fatigue, alertness, or daily function by self-report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night-to-night sleep variability and weekend vs weekday pattern differences.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Hyperarousal/Sleep-onset (CES-led)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hyperarousal; racing thoughts at bedtime; cortical over-activation; high ANS arousal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evening protocol + DLPFC cathodal + relaxation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(RCT support)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Sleep-maintenance (CES+DLPFC)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Frequent nocturnal awakenings; light sleep; reduced slow-wave activity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+ DLPFC tDCS + sleep restriction therapy support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Early-waking (DLPFC+taVNS)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Early morning awakening; often comorbid depression; circadian phase advance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taVNS + DLPFC tDCS + CBT-I support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Anxiety-driven insomnia (DLPFC+CES)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Anticipatory anxiety about sleep; sleep effort paradox; amygdala hyperactivation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CES + stimulus control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Circadian-disrupted (taVNS+CES)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Irregular sleep-wake timing; shift work; chronotype mismatch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taVNS + CES + bright light therapy adjunct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Comorbid depression/insomnia (DLPFC+CES)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disruption driven by depression; early waking; non-restorative sleep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tDCS + taVNS + CES + CBT-I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Primary insomnia with hyperarousal as core feature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and DLPFC protocols most effective for cortical/ANS hyperarousal phenotype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CBT-I ongoing or willingness to engage with sleep hygiene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augments CBT-I; sleep behaviours required for sustained gains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medication at stable dose (not acutely changing)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confound sleep architecture measurement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hyperarousal network and sleep circuit mapping guides CES/DLPFC targeting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(evening) for hyperarousal; DLPFC tDCS for cognitive/anxiety phenotype; taVNS for circadian/depression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timing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in evening (1–2h before bed); DLPFC tDCS daytime; not immediately before sleep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Diary requirement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7-day sleep diary mandatory for valid assessment; single-night measurement unreliable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hyperarousal circuit + default mode hyperactivation guides inhibitory montage selection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Night-to-night sleep variability is inherent in insomnia. If baseline uses a single poor-sleep night and follow-up uses a single good-sleep night (or vice versa), you will create false responders or non-responders. Always use 7-day sleep diary averages for assessments; document weekend vs weekday patterns and sleep medication use.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≥6 point ISI reduction + meaningful SOL or WASO improvement on 7-day average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maintenance with CBT-I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ISI reduction 3–5 points OR sleep quality improvement without SOL/WASO change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Re-phenotype; adjust session timing; intensify CBT-I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&lt;3 point ISI change after adequate trial with diary-based assessment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Insomnia with significant sleep apnoea (untreated)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Respiratory arousal driving insomnia; cortical modulation insufficient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study; CPAP initiation; reassess after treatment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Chronic hypnotic dependence (benzodiazepines &gt;3 months)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Rebound insomnia and tolerance confound sleep measurement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Gradual taper program; CBT-I intensification; specialist review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Insomnia secondary to uncontrolled psychiatric disorder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Primary diagnosis driving sleep disruption; tDCS insufficient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Treat primary condition; reassess insomnia phenotype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Extreme sleep phase disorder (severe DSPS/ASPS)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Circadian misalignment requires chronotherapy; cortical protocols insufficient alone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Chronotherapy; bright light; melatonin; reassess after phase correction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sleep pharmacotherapy agent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Sleep Medication-tDCS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Z-drugs/suvorexant modulate GABA-A/orexin pathways; trazodone affects histaminergic arousal — all interact with tDCS effects on hyperarousal circuits.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Sleep-Medicated vs Medication-Free Night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Sleep Medication State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Medication Change / Acute Adjustment (Avoid)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stable sleep medication dose with consistent use pattern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hypnotic initiation, dose change, or taper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Architecture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Consistent sleep structure for within-block diary comparison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 alters REM/NREM; confounds diary measures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daytime alertness at stable dose; consistent session engagement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Residual sedation or rebound insomnia reduces session compliance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7-day diary averages valid at stable medication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Cannot attribute diary changes to tDCS during medication adjustment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All CES/tDCS insomnia protocols require stable pharmacological baseline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Document if medication changes are clinically necessary; flag in assessment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Assess using 7-day sleep diary averages, NOT single-night measures. Use the SAME sleep medication timing and weekday/weekend pattern for all assessment windows to ensure valid comparison.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Medication Name &amp;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Frequency of Use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Nightly  □ PRN (freq: ___ nights/week)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Duration at Current Regimen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7-Day Sleep Diary Completed?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 — Average SOL: ___ min, WASO: ___ min  □ 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Weekend vs Weekday Pattern Difference?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Similar  □ Different (weekend later by ___ hours)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Chosen State for Block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Stable medication regimen (default)  □ Tapering (document rationale)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Timing for CES (if used)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Evening: ___:___ 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Sleep Medication + tDCS Pairing by Insomnia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Hyperarousal/Sleep-onset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evening (1–2h pre-bed) + DLPFC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Relaxation + PMR + CBT-I stimulus control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ISI, PSQI, 7-day diary SOL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Sleep-maintenance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+ DLPFC tDCS daytime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restriction support + wake-time activity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ISI, 7-day diary WASO, PSQI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Anxiety-driven insomnia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CES evening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restructuring + worry time task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ISI, GAD-7, DBAS-16, diary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Comorbid depression + insomnia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taVNS + CES evening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 activation + CBT-I combined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PHQ-9, ISI, PSQI, FACIT-F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Sleep Medication-tDCS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medication name, dose, and frequency of use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7-day sleep diary completed for each assessment window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Weekend vs weekday sleep pattern difference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7-day diary window and medication state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7-day diary window uses same weekday/weekend composition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session timing relative to bedtime documented (if applicable)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DAYTIME session start time consistent across block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use 7-day averages, not single-night measures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Sleep pharmacotherapy agent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tDCS/CES is an adjunctive intervention best combined with CBT-I principles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or CES replaces sleep medication or cures insomnia disorder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target cortical hyperarousal and ANS dysregulation; sleep behaviour change also required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induces deep sleep or repairs sleep architecture independently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promising for hyperarousal phenotype; CBT-I remains gold standard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equivalent to CBT-I for chronic insomnia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