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LONG COVID / POST-COVID SYNDROME</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Long COVID / Post-COVID Syndrome (LC).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Long COVID / Post-COVID Syndrome (LC)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LC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LC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Long COVID Status</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 — brain fog / fatigue</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Primary adjunctive — vagal/autonomic regulation</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 — brain fog, fatigue, mood</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Long COVID / Post-COVID Syndrome is INVESTIGATIONAL at SOZO Brain Center. It is not CE-marked or FDA-approved for LC.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LC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Long COVID / Post-COVID Syndrome (LC).</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LC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Long COVID treatment.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Long COVID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emerging evidence for cognitive rehabilitation in LC</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 primary vagal/autonomic modulation for LC</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Off-label supportive — anxiety, mood, and fatigue components</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LC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fog (cognitive cloudiness)</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Fatigue (physical and mental)</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Post-exertional malaise (worsening after activity)</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Memory difficulties (working / episodic)</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Concentration and sustained attention</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Word-finding difficulties</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Processing speed (mental sluggishness)</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Headache / head pressure</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Depression / low mood</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Anxiety</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quality</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Heart rate variability / palpitations</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Breathlessness at rest or with minimal exertion</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Muscle aches and pain</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Dizziness / orthostatic intolerance</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and occupational function</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Cognitive Fog, Fatigue-Dominant, Dysautonomia, Neuropsychiatric, Headache/Pain, Exercise Intolerance, Sleep-Dominant, Anosmia/Ageusia, or Multi-System.</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LC: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Fog</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 hypofunction (processing speed, working memory), DMN-CEN decoupling</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Global network energy deficit, SN sensitisation, reduced thalamo-cortical modulation</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Dysautonomia</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dysregulation (autonomic instability), reduced vagal tone, LIMBIC amplification</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Neuropsychiatric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hyperactivation (depression/anxiety), SN threat amplification, DMN rumination</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Headache / Pain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sensitisation (central sensitisation), DMN pain processing, descending inhibition failure</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Exercise Intolerance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SMN deconditioning, SN post-exertional amplification, autonomic network disruption</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hyperarousal (insomnia-type), LIMBIC dysregulation, circadian network disruption</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Multi-System</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Widespread network dysfunction; prioritise most disabling symptom cluster for initial FNON targeting</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(LC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current medications (symptom-targeted agents, anticoagulants, antidepressants) — dose, timing, and adherence; note any recent symptom crashes</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(Long COVID symptom-targeted medications, timing of last dose, any post-exertional malaise since last session)</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rehabilitation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Graded computerised cognitive training (n-back, processing speed tasks) — low-intensity, paced</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Cz/Fz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 and attention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Mindfulness-based attention task, gentle breathing regulation, body scan</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Pz cathode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Memory / word-finding</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Verbal fluency tasks, word association, structured recall exercises</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Fpz / F3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Arousal modulation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Relaxation response training, heart rate variability biofeedback (with taVNS)</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 + taVNS (no tDCS)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Autonomic stabilisation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Slow breathing (5 breaths/min), parasympathetic activation protocol</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 Brain Fog</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improvement in cognitive PRS items + objective cognitive screen (MoCA or equivalent)</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fatigue severity score (PRS) and improved post-exertional tolerance (patient-reported)</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Autonomic / Dysautonomia</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Improved heart rate variability, reduced POTS severity, reduced dizziness frequency</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Mood / Function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PHQ-9 / GAD-7 equivalent and return to occupational / social participation</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Long COVID symptoms fluctuate significantly. Standardise assessment conditions between baseline and follow-up, including time of day, exertion level in the 48 hours prior, and medication adherence. Post-exertional malaise episodes in the preceding week must be documented and factored into SOZO PRS interpretation.</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Long COVID / Post-COVID Syndrome (WHO 2021 definition; symptoms ≥12 weeks post-infection)</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Cognitive or fatigue symptoms causing functional impairment</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18+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cognitive outcome measures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cardiac dysrhythmia or active cardiopulmonary instability</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Unstable autonomic dysfunction with severe POTS or syncope</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psychosis or severe psychiatric instability</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post-exertional malaise with inability to tolerate minimal stimulation</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LC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Fog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(2 mA, 20 min) + TPS frontal + temporal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Cz anode / Fpz cathode + TPS cranial + taVNS primary + CES daily (pre-session)</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Dysautonomia</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 primary (vagal regulation, 2–4 h/day) + CES daily + tDCS F3/F4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Neuropsychiatric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(L-DLPFC up) + TPS frontal + taVNS + CES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Headache / Pain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M1 (C3/C4 anode) + TPS cranial + peripheral cervical + taVNS + CES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Exercise Intolerance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Cz/F3 graded protocol + TPS cranial + taVNS primary + CES supportive; strict session pacing</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Fpz / F3 cathode (frontal inhibition) + TPS frontal + taVNS (pre-sleep) + CES primary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Multi-System</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FNON alternating strategy: alternate cognitive and autonomic blocks per week; reassess at 4 weeks</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