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OBSESSIVE-COMPULSIVE DISORDER (OCD)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OCD Relevance: </w:t>
      </w:r>
      <w:r>
        <w:rPr>
          <w:sz w:val="20"/>
        </w:rPr>
        <w:t>Obsession-invaded. Obsessive rumination, mental rituals, and thought-action fusion hijack DMN self-referential processing. Intrusive ego-dystonic thoughts represent DMN content that cannot be suppressed by prefrontal inhibition.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obsessive content in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 obsessive themes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Intrusive thought frequency (self-report)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1=Occasional, 2=Constant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to obsessional topics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2=Dominated by obsessions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Thought-action fusion tendency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2=Cannot separate thought from action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obsessions as irrational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0=Good insight, 1=Limited, 2=None/overvalued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(contamination/harm)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1=Slightly catastrophic, 2=Catastrophic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Mental neutralisation rituals observable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 during session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OCD Relevance: </w:t>
      </w:r>
      <w:r>
        <w:rPr>
          <w:sz w:val="20"/>
        </w:rPr>
        <w:t>Misdirected. DLPFC is engaged in maintaining and responding to obsessional content rather than adaptive problem-solving. Cognitive inflexibility and inability to shift from obsessional thought reflects aberrant CEN-OFC loops.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 due to obsessions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 (perseveration)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 to shift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OCD Relevance: </w:t>
      </w:r>
      <w:r>
        <w:rPr>
          <w:sz w:val="20"/>
        </w:rPr>
        <w:t>HYPER. PRIMARY NETWORK IN OCD. dACC error-signal hyperactivity generates the persistent sense that things are not right (just-right perception). Anterior insula hyperactivation drives interoceptive discomfort compelling compulsions.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Disgust / contamination sensitivity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1=Hypo, 2=Hyper/extreme disgust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 (not-right feeling)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2=Constant discomfort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 to triggers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1=Flat, 2=Severe anxiety/urge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away from obsessions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 (over-detection)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1=Normal, 2=Constant error detection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 to triggers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2=Hyper/sympathetic surge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OCD Relevance: </w:t>
      </w:r>
      <w:r>
        <w:rPr>
          <w:sz w:val="20"/>
        </w:rPr>
        <w:t>Compulsion-organised. Repetitive motor rituals, compulsive checking movements, motor tics, and avoidance gestures are SMN activations driven by OFC-caudate-thalamic loop hyperactivity.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Compulsive checking movements (observable)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Motor tics (if present)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0=Absent, 1=Occasional, 2=Frequent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Ritualistic body movements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 stereotyped rituals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Motor sequencing rigidity in tasks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1=Rigid, 2=Cannot deviate from ritual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Psychomotor slowing (depression comorbidity)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2=Severely slow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Avoidance movements (contamination)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2=Severe restriction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Compulsive ordering/arranging movements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Handwashing / cleaning behaviours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1=Excessive, 2=Disabling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OCD Relevance: </w:t>
      </w:r>
      <w:r>
        <w:rPr>
          <w:sz w:val="20"/>
        </w:rPr>
        <w:t>Dysregulated. OFC-caudate-thalamic circuit hyperactivation is the neurobiological hallmark of OCD. Anxiety driving compulsions and brief relief post-compulsion reflect aberrant limbic-striatal reward/punishment signalling.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(anxiety vs flat)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1=Anxious, 2=Severe anxiety/panic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 depression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OCD-specific anxiety (Y-BOCS estimate)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quality of life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2=Absent/housebound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Post-compulsion relief (reward signal)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 relief, 1=Partial, 2=Full relief (reinforcer)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2=Hyperactive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OCD Relevance: </w:t>
      </w:r>
      <w:r>
        <w:rPr>
          <w:sz w:val="20"/>
        </w:rPr>
        <w:t>HYPER-obsessional. Attention is locked onto obsessional content (threat/contamination/harm) with severe impairment in disengaging. VAN hyperresponsivity drives orienting to obsessional triggers in the environment.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(during obsessions)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Attentional capture by OCD triggers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2=Cannot disengage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to OCD triggers in environment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2=Locked-on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Disengagement from obsessional focus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2=Hypervigilant to triggers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OCD-Specific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mPFC tDCS to reduce obsessive rumination content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for cognitive flexibility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dACC / taVNS for error-signal hyperactivity (primary)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SMA tDCS for compulsive motor urge reduction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OFC-caudate circuit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rTPJ tDCS to reduce obsessional attentional bias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Contamination  ☐ Symmetry/ordering  ☐ Harm/checking  ☐ Hoarding  ☐ Pure obsessional  ☐ Treatment-resistant  ☐ Tic-related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